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rFonts w:ascii="Calibri" w:cs="Calibri" w:eastAsia="Calibri" w:hAnsi="Calibri"/>
          <w:b/>
          <w:bCs/>
          <w:color w:val="A2451F"/>
          <w:spacing w:val="30"/>
          <w:sz w:val="15"/>
          <w:szCs w:val="15"/>
        </w:rPr>
        <w:t xml:space="preserve">TEMPLATE 03</w:t>
      </w:r>
    </w:p>
    <w:p>
      <w:pPr>
        <w:pStyle w:val="Heading1"/>
        <w:spacing w:after="80"/>
      </w:pPr>
      <w:r>
        <w:rPr>
          <w:rFonts w:ascii="Georgia" w:cs="Georgia" w:eastAsia="Georgia" w:hAnsi="Georgia"/>
          <w:b/>
          <w:bCs/>
          <w:color w:val="1C1A16"/>
          <w:sz w:val="40"/>
          <w:szCs w:val="40"/>
        </w:rPr>
        <w:t xml:space="preserve">Taking the names out</w:t>
      </w:r>
    </w:p>
    <w:p>
      <w:pPr>
        <w:pBdr>
          <w:bottom w:val="single" w:color="CFC8B8" w:sz="6" w:space="12"/>
        </w:pBdr>
        <w:spacing w:after="280"/>
      </w:pPr>
      <w:r>
        <w:rPr>
          <w:rFonts w:ascii="Georgia" w:cs="Georgia" w:eastAsia="Georgia" w:hAnsi="Georgia"/>
          <w:i/>
          <w:iCs/>
          <w:color w:val="4C473C"/>
          <w:sz w:val="22"/>
          <w:szCs w:val="22"/>
        </w:rPr>
        <w:t xml:space="preserve">A practical screen for direct identifiers before using open text feedback. This reduces risk, but it is not a formal HIPAA de-identification method.</w:t>
      </w:r>
    </w:p>
    <w:tbl>
      <w:tblPr>
        <w:tblW w:type="dxa" w:w="9360"/>
        <w:tblBorders>
          <w:top w:val="single" w:color="A2451F" w:sz="4"/>
          <w:left w:val="single" w:color="A2451F" w:sz="18"/>
          <w:bottom w:val="single" w:color="A2451F" w:sz="4"/>
          <w:right w:val="single" w:color="A2451F" w:sz="4"/>
          <w:insideH w:val="none" w:color="FFFFFF" w:sz="0"/>
          <w:insideV w:val="none" w:color="FFFFFF" w:sz="0"/>
        </w:tblBorders>
      </w:tblPr>
      <w:tblGrid>
        <w:gridCol w:w="9360"/>
      </w:tblGrid>
      <w:tr>
        <w:tc>
          <w:tcPr>
            <w:tcW w:type="dxa" w:w="9360"/>
            <w:tcMar>
              <w:top w:type="dxa" w:w="160"/>
              <w:left w:type="dxa" w:w="220"/>
              <w:bottom w:type="dxa" w:w="160"/>
              <w:right w:type="dxa" w:w="220"/>
            </w:tcMar>
          </w:tcPr>
          <w:p>
            <w:pPr>
              <w:spacing w:after="90"/>
            </w:pPr>
            <w:r>
              <w:rPr>
                <w:rFonts w:ascii="Calibri" w:cs="Calibri" w:eastAsia="Calibri" w:hAnsi="Calibri"/>
                <w:b/>
                <w:bCs/>
                <w:color w:val="A2451F"/>
                <w:spacing w:val="25"/>
                <w:sz w:val="15"/>
                <w:szCs w:val="15"/>
              </w:rPr>
              <w:t xml:space="preserve">WHY THIS MATTERS</w:t>
            </w:r>
          </w:p>
          <w:p>
            <w:pPr>
              <w:spacing w:after="90"/>
            </w:pPr>
            <w:r>
              <w:rPr>
                <w:rFonts w:ascii="Calibri" w:cs="Calibri" w:eastAsia="Calibri" w:hAnsi="Calibri"/>
                <w:color w:val="1C1A16"/>
                <w:sz w:val="20"/>
                <w:szCs w:val="20"/>
              </w:rPr>
              <w:t xml:space="preserve">Open text comments regularly name faculty, name colleagues, and occasionally describe a patient in enough detail to identify them. Sometimes a respondent names themselves.</w:t>
            </w:r>
          </w:p>
          <w:p>
            <w:pPr>
              <w:spacing w:after="0"/>
            </w:pPr>
            <w:r>
              <w:rPr>
                <w:rFonts w:ascii="Calibri" w:cs="Calibri" w:eastAsia="Calibri" w:hAnsi="Calibri"/>
                <w:color w:val="1C1A16"/>
                <w:sz w:val="20"/>
                <w:szCs w:val="20"/>
              </w:rPr>
              <w:t xml:space="preserve">A disclosure can harm trust and trigger an incident response. This routine reduces risk, but it does not guarantee that contextual details cannot identify someone.</w:t>
            </w:r>
          </w:p>
        </w:tc>
      </w:tr>
    </w:tbl>
    <w:p>
      <w:pPr>
        <w:pStyle w:val="Heading2"/>
        <w:spacing w:after="120" w:before="320"/>
      </w:pPr>
      <w:r>
        <w:rPr>
          <w:rFonts w:ascii="Georgia" w:cs="Georgia" w:eastAsia="Georgia" w:hAnsi="Georgia"/>
          <w:b/>
          <w:bCs/>
          <w:color w:val="14453B"/>
          <w:sz w:val="26"/>
          <w:szCs w:val="26"/>
        </w:rPr>
        <w:t xml:space="preserve">The routine</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b/>
          <w:bCs/>
          <w:color w:val="1C1A16"/>
          <w:sz w:val="21"/>
          <w:szCs w:val="21"/>
        </w:rPr>
        <w:t xml:space="preserve">Work on a copy.</w:t>
      </w:r>
      <w:r>
        <w:rPr>
          <w:rFonts w:ascii="Calibri" w:cs="Calibri" w:eastAsia="Calibri" w:hAnsi="Calibri"/>
          <w:color w:val="4C473C"/>
          <w:sz w:val="21"/>
          <w:szCs w:val="21"/>
        </w:rPr>
        <w:t xml:space="preserve"> Save the export as a separate working file. Never edit the original.</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b/>
          <w:bCs/>
          <w:color w:val="1C1A16"/>
          <w:sz w:val="21"/>
          <w:szCs w:val="21"/>
        </w:rPr>
        <w:t xml:space="preserve">Swap names for placeholders.</w:t>
      </w:r>
      <w:r>
        <w:rPr>
          <w:rFonts w:ascii="Calibri" w:cs="Calibri" w:eastAsia="Calibri" w:hAnsi="Calibri"/>
          <w:color w:val="4C473C"/>
          <w:sz w:val="21"/>
          <w:szCs w:val="21"/>
        </w:rPr>
        <w:t xml:space="preserve"> Use find and replace to change each faculty name to [FACULTY A], [FACULTY B] and so on. Store any key separately in an approved location, or do not keep one if it is not needed.</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b/>
          <w:bCs/>
          <w:color w:val="1C1A16"/>
          <w:sz w:val="21"/>
          <w:szCs w:val="21"/>
        </w:rPr>
        <w:t xml:space="preserve">Search for the near misses.</w:t>
      </w:r>
      <w:r>
        <w:rPr>
          <w:rFonts w:ascii="Calibri" w:cs="Calibri" w:eastAsia="Calibri" w:hAnsi="Calibri"/>
          <w:color w:val="4C473C"/>
          <w:sz w:val="21"/>
          <w:szCs w:val="21"/>
        </w:rPr>
        <w:t xml:space="preserve"> Search the file for each term in the list below. This is where the identifiers you missed are hiding.</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b/>
          <w:bCs/>
          <w:color w:val="1C1A16"/>
          <w:sz w:val="21"/>
          <w:szCs w:val="21"/>
        </w:rPr>
        <w:t xml:space="preserve">Remove clinical specifics.</w:t>
      </w:r>
      <w:r>
        <w:rPr>
          <w:rFonts w:ascii="Calibri" w:cs="Calibri" w:eastAsia="Calibri" w:hAnsi="Calibri"/>
          <w:color w:val="4C473C"/>
          <w:sz w:val="21"/>
          <w:szCs w:val="21"/>
        </w:rPr>
        <w:t xml:space="preserve"> Any comment describing a particular patient encounter: take out the detail, or set the comment aside.</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b/>
          <w:bCs/>
          <w:color w:val="1C1A16"/>
          <w:sz w:val="21"/>
          <w:szCs w:val="21"/>
        </w:rPr>
        <w:t xml:space="preserve">Hold back what will not survive it.</w:t>
      </w:r>
      <w:r>
        <w:rPr>
          <w:rFonts w:ascii="Calibri" w:cs="Calibri" w:eastAsia="Calibri" w:hAnsi="Calibri"/>
          <w:color w:val="4C473C"/>
          <w:sz w:val="21"/>
          <w:szCs w:val="21"/>
        </w:rPr>
        <w:t xml:space="preserve"> Some comments cannot be screened without losing their meaning. Set those aside and read them yourself.</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b/>
          <w:bCs/>
          <w:color w:val="1C1A16"/>
          <w:sz w:val="21"/>
          <w:szCs w:val="21"/>
        </w:rPr>
        <w:t xml:space="preserve">Review the working file.</w:t>
      </w:r>
      <w:r>
        <w:rPr>
          <w:rFonts w:ascii="Calibri" w:cs="Calibri" w:eastAsia="Calibri" w:hAnsi="Calibri"/>
          <w:color w:val="4C473C"/>
          <w:sz w:val="21"/>
          <w:szCs w:val="21"/>
        </w:rPr>
        <w:t xml:space="preserve"> When the stakes are high, review the entire working file. A spot-check may find obvious misses, but it is not formal de-identification.</w:t>
      </w:r>
    </w:p>
    <w:p>
      <w:pPr>
        <w:pStyle w:val="Heading2"/>
        <w:spacing w:after="120" w:before="320"/>
      </w:pPr>
      <w:r>
        <w:rPr>
          <w:rFonts w:ascii="Georgia" w:cs="Georgia" w:eastAsia="Georgia" w:hAnsi="Georgia"/>
          <w:b/>
          <w:bCs/>
          <w:color w:val="14453B"/>
          <w:sz w:val="26"/>
          <w:szCs w:val="26"/>
        </w:rPr>
        <w:t xml:space="preserve">Search for each of these</w:t>
      </w:r>
    </w:p>
    <w:p>
      <w:pPr>
        <w:spacing w:after="160"/>
      </w:pPr>
      <w:r>
        <w:rPr>
          <w:rFonts w:ascii="Calibri" w:cs="Calibri" w:eastAsia="Calibri" w:hAnsi="Calibri"/>
          <w:b w:val="false"/>
          <w:bCs w:val="false"/>
          <w:i w:val="false"/>
          <w:iCs w:val="false"/>
          <w:color w:val="4C473C"/>
          <w:sz w:val="21"/>
          <w:szCs w:val="21"/>
        </w:rPr>
        <w:t xml:space="preserve">Tick them off as you go. Most files have something in at least four of these.</w:t>
      </w:r>
    </w:p>
    <w:tbl>
      <w:tblPr>
        <w:tblW w:type="dxa" w:w="9360"/>
        <w:tblBorders>
          <w:top w:val="single" w:color="1C1A16" w:sz="8"/>
          <w:left w:val="none" w:color="FFFFFF" w:sz="0"/>
          <w:bottom w:val="single" w:color="CFC8B8" w:sz="4"/>
          <w:right w:val="none" w:color="FFFFFF" w:sz="0"/>
          <w:insideH w:val="single" w:color="CFC8B8" w:sz="4"/>
          <w:insideV w:val="none" w:color="FFFFFF" w:sz="0"/>
        </w:tblBorders>
      </w:tblPr>
      <w:tblGrid>
        <w:gridCol w:w="2600"/>
        <w:gridCol w:w="6760"/>
      </w:tblGrid>
      <w:tr>
        <w:trPr>
          <w:tblHeader/>
        </w:trPr>
        <w:tc>
          <w:tcPr>
            <w:tcW w:type="dxa" w:w="2600"/>
            <w:tcMar>
              <w:top w:type="dxa" w:w="100"/>
              <w:left w:type="dxa" w:w="120"/>
              <w:bottom w:type="dxa" w:w="100"/>
              <w:right w:type="dxa" w:w="120"/>
            </w:tcMar>
          </w:tcPr>
          <w:p>
            <w:r>
              <w:rPr>
                <w:rFonts w:ascii="Calibri" w:cs="Calibri" w:eastAsia="Calibri" w:hAnsi="Calibri"/>
                <w:b/>
                <w:bCs/>
                <w:color w:val="676051"/>
                <w:spacing w:val="25"/>
                <w:sz w:val="14"/>
                <w:szCs w:val="14"/>
              </w:rPr>
              <w:t xml:space="preserve">SEARCH TERM</w:t>
            </w:r>
          </w:p>
        </w:tc>
        <w:tc>
          <w:tcPr>
            <w:tcW w:type="dxa" w:w="6760"/>
            <w:tcMar>
              <w:top w:type="dxa" w:w="100"/>
              <w:left w:type="dxa" w:w="120"/>
              <w:bottom w:type="dxa" w:w="100"/>
              <w:right w:type="dxa" w:w="120"/>
            </w:tcMar>
          </w:tcPr>
          <w:p>
            <w:r>
              <w:rPr>
                <w:rFonts w:ascii="Calibri" w:cs="Calibri" w:eastAsia="Calibri" w:hAnsi="Calibri"/>
                <w:b/>
                <w:bCs/>
                <w:color w:val="676051"/>
                <w:spacing w:val="25"/>
                <w:sz w:val="14"/>
                <w:szCs w:val="14"/>
              </w:rPr>
              <w:t xml:space="preserve">WHAT YOU ARE LOOKING FOR</w:t>
            </w:r>
          </w:p>
        </w:tc>
      </w:tr>
      <w:tr>
        <w:tc>
          <w:tcPr>
            <w:tcW w:type="dxa" w:w="2600"/>
            <w:tcMar>
              <w:top w:type="dxa" w:w="120"/>
              <w:left w:type="dxa" w:w="120"/>
              <w:bottom w:type="dxa" w:w="120"/>
              <w:right w:type="dxa" w:w="120"/>
            </w:tcMar>
          </w:tcPr>
          <w:p>
            <w:r>
              <w:rPr>
                <w:rFonts w:ascii="Calibri" w:cs="Calibri" w:eastAsia="Calibri" w:hAnsi="Calibri"/>
                <w:b/>
                <w:bCs/>
                <w:color w:val="1C1A16"/>
                <w:sz w:val="20"/>
                <w:szCs w:val="20"/>
              </w:rPr>
              <w:t xml:space="preserve">Dr</w:t>
            </w:r>
          </w:p>
        </w:tc>
        <w:tc>
          <w:tcPr>
            <w:tcW w:type="dxa" w:w="6760"/>
            <w:tcMar>
              <w:top w:type="dxa" w:w="120"/>
              <w:left w:type="dxa" w:w="120"/>
              <w:bottom w:type="dxa" w:w="120"/>
              <w:right w:type="dxa" w:w="120"/>
            </w:tcMar>
          </w:tcPr>
          <w:p>
            <w:r>
              <w:rPr>
                <w:rFonts w:ascii="Calibri" w:cs="Calibri" w:eastAsia="Calibri" w:hAnsi="Calibri"/>
                <w:b w:val="false"/>
                <w:bCs w:val="false"/>
                <w:color w:val="4C473C"/>
                <w:sz w:val="20"/>
                <w:szCs w:val="20"/>
              </w:rPr>
              <w:t xml:space="preserve">Named clinicians the find-and-replace missed</w:t>
            </w:r>
          </w:p>
        </w:tc>
      </w:tr>
      <w:tr>
        <w:tc>
          <w:tcPr>
            <w:tcW w:type="dxa" w:w="2600"/>
            <w:tcMar>
              <w:top w:type="dxa" w:w="120"/>
              <w:left w:type="dxa" w:w="120"/>
              <w:bottom w:type="dxa" w:w="120"/>
              <w:right w:type="dxa" w:w="120"/>
            </w:tcMar>
          </w:tcPr>
          <w:p>
            <w:r>
              <w:rPr>
                <w:rFonts w:ascii="Calibri" w:cs="Calibri" w:eastAsia="Calibri" w:hAnsi="Calibri"/>
                <w:b/>
                <w:bCs/>
                <w:color w:val="1C1A16"/>
                <w:sz w:val="20"/>
                <w:szCs w:val="20"/>
              </w:rPr>
              <w:t xml:space="preserve">Nurse, RN, PA, NP</w:t>
            </w:r>
          </w:p>
        </w:tc>
        <w:tc>
          <w:tcPr>
            <w:tcW w:type="dxa" w:w="6760"/>
            <w:tcMar>
              <w:top w:type="dxa" w:w="120"/>
              <w:left w:type="dxa" w:w="120"/>
              <w:bottom w:type="dxa" w:w="120"/>
              <w:right w:type="dxa" w:w="120"/>
            </w:tcMar>
          </w:tcPr>
          <w:p>
            <w:r>
              <w:rPr>
                <w:rFonts w:ascii="Calibri" w:cs="Calibri" w:eastAsia="Calibri" w:hAnsi="Calibri"/>
                <w:b w:val="false"/>
                <w:bCs w:val="false"/>
                <w:color w:val="4C473C"/>
                <w:sz w:val="20"/>
                <w:szCs w:val="20"/>
              </w:rPr>
              <w:t xml:space="preserve">Roles specific enough to identify one person</w:t>
            </w:r>
          </w:p>
        </w:tc>
      </w:tr>
      <w:tr>
        <w:tc>
          <w:tcPr>
            <w:tcW w:type="dxa" w:w="2600"/>
            <w:tcMar>
              <w:top w:type="dxa" w:w="120"/>
              <w:left w:type="dxa" w:w="120"/>
              <w:bottom w:type="dxa" w:w="120"/>
              <w:right w:type="dxa" w:w="120"/>
            </w:tcMar>
          </w:tcPr>
          <w:p>
            <w:r>
              <w:rPr>
                <w:rFonts w:ascii="Calibri" w:cs="Calibri" w:eastAsia="Calibri" w:hAnsi="Calibri"/>
                <w:b/>
                <w:bCs/>
                <w:color w:val="1C1A16"/>
                <w:sz w:val="20"/>
                <w:szCs w:val="20"/>
              </w:rPr>
              <w:t xml:space="preserve">My manager, my chair</w:t>
            </w:r>
          </w:p>
        </w:tc>
        <w:tc>
          <w:tcPr>
            <w:tcW w:type="dxa" w:w="6760"/>
            <w:tcMar>
              <w:top w:type="dxa" w:w="120"/>
              <w:left w:type="dxa" w:w="120"/>
              <w:bottom w:type="dxa" w:w="120"/>
              <w:right w:type="dxa" w:w="120"/>
            </w:tcMar>
          </w:tcPr>
          <w:p>
            <w:r>
              <w:rPr>
                <w:rFonts w:ascii="Calibri" w:cs="Calibri" w:eastAsia="Calibri" w:hAnsi="Calibri"/>
                <w:b w:val="false"/>
                <w:bCs w:val="false"/>
                <w:color w:val="4C473C"/>
                <w:sz w:val="20"/>
                <w:szCs w:val="20"/>
              </w:rPr>
              <w:t xml:space="preserve">Identifiable by relationship rather than name</w:t>
            </w:r>
          </w:p>
        </w:tc>
      </w:tr>
      <w:tr>
        <w:tc>
          <w:tcPr>
            <w:tcW w:type="dxa" w:w="2600"/>
            <w:tcMar>
              <w:top w:type="dxa" w:w="120"/>
              <w:left w:type="dxa" w:w="120"/>
              <w:bottom w:type="dxa" w:w="120"/>
              <w:right w:type="dxa" w:w="120"/>
            </w:tcMar>
          </w:tcPr>
          <w:p>
            <w:r>
              <w:rPr>
                <w:rFonts w:ascii="Calibri" w:cs="Calibri" w:eastAsia="Calibri" w:hAnsi="Calibri"/>
                <w:b/>
                <w:bCs/>
                <w:color w:val="1C1A16"/>
                <w:sz w:val="20"/>
                <w:szCs w:val="20"/>
              </w:rPr>
              <w:t xml:space="preserve">She, he, her, him</w:t>
            </w:r>
          </w:p>
        </w:tc>
        <w:tc>
          <w:tcPr>
            <w:tcW w:type="dxa" w:w="6760"/>
            <w:tcMar>
              <w:top w:type="dxa" w:w="120"/>
              <w:left w:type="dxa" w:w="120"/>
              <w:bottom w:type="dxa" w:w="120"/>
              <w:right w:type="dxa" w:w="120"/>
            </w:tcMar>
          </w:tcPr>
          <w:p>
            <w:r>
              <w:rPr>
                <w:rFonts w:ascii="Calibri" w:cs="Calibri" w:eastAsia="Calibri" w:hAnsi="Calibri"/>
                <w:b w:val="false"/>
                <w:bCs w:val="false"/>
                <w:color w:val="4C473C"/>
                <w:sz w:val="20"/>
                <w:szCs w:val="20"/>
              </w:rPr>
              <w:t xml:space="preserve">A person described but not named</w:t>
            </w:r>
          </w:p>
        </w:tc>
      </w:tr>
      <w:tr>
        <w:tc>
          <w:tcPr>
            <w:tcW w:type="dxa" w:w="2600"/>
            <w:tcMar>
              <w:top w:type="dxa" w:w="120"/>
              <w:left w:type="dxa" w:w="120"/>
              <w:bottom w:type="dxa" w:w="120"/>
              <w:right w:type="dxa" w:w="120"/>
            </w:tcMar>
          </w:tcPr>
          <w:p>
            <w:r>
              <w:rPr>
                <w:rFonts w:ascii="Calibri" w:cs="Calibri" w:eastAsia="Calibri" w:hAnsi="Calibri"/>
                <w:b/>
                <w:bCs/>
                <w:color w:val="1C1A16"/>
                <w:sz w:val="20"/>
                <w:szCs w:val="20"/>
              </w:rPr>
              <w:t xml:space="preserve">Department names</w:t>
            </w:r>
          </w:p>
        </w:tc>
        <w:tc>
          <w:tcPr>
            <w:tcW w:type="dxa" w:w="6760"/>
            <w:tcMar>
              <w:top w:type="dxa" w:w="120"/>
              <w:left w:type="dxa" w:w="120"/>
              <w:bottom w:type="dxa" w:w="120"/>
              <w:right w:type="dxa" w:w="120"/>
            </w:tcMar>
          </w:tcPr>
          <w:p>
            <w:r>
              <w:rPr>
                <w:rFonts w:ascii="Calibri" w:cs="Calibri" w:eastAsia="Calibri" w:hAnsi="Calibri"/>
                <w:b w:val="false"/>
                <w:bCs w:val="false"/>
                <w:color w:val="4C473C"/>
                <w:sz w:val="20"/>
                <w:szCs w:val="20"/>
              </w:rPr>
              <w:t xml:space="preserve">Small departments identify individuals</w:t>
            </w:r>
          </w:p>
        </w:tc>
      </w:tr>
      <w:tr>
        <w:tc>
          <w:tcPr>
            <w:tcW w:type="dxa" w:w="2600"/>
            <w:tcMar>
              <w:top w:type="dxa" w:w="120"/>
              <w:left w:type="dxa" w:w="120"/>
              <w:bottom w:type="dxa" w:w="120"/>
              <w:right w:type="dxa" w:w="120"/>
            </w:tcMar>
          </w:tcPr>
          <w:p>
            <w:r>
              <w:rPr>
                <w:rFonts w:ascii="Calibri" w:cs="Calibri" w:eastAsia="Calibri" w:hAnsi="Calibri"/>
                <w:b/>
                <w:bCs/>
                <w:color w:val="1C1A16"/>
                <w:sz w:val="20"/>
                <w:szCs w:val="20"/>
              </w:rPr>
              <w:t xml:space="preserve">Room, unit, floor, clinic</w:t>
            </w:r>
          </w:p>
        </w:tc>
        <w:tc>
          <w:tcPr>
            <w:tcW w:type="dxa" w:w="6760"/>
            <w:tcMar>
              <w:top w:type="dxa" w:w="120"/>
              <w:left w:type="dxa" w:w="120"/>
              <w:bottom w:type="dxa" w:w="120"/>
              <w:right w:type="dxa" w:w="120"/>
            </w:tcMar>
          </w:tcPr>
          <w:p>
            <w:r>
              <w:rPr>
                <w:rFonts w:ascii="Calibri" w:cs="Calibri" w:eastAsia="Calibri" w:hAnsi="Calibri"/>
                <w:b w:val="false"/>
                <w:bCs w:val="false"/>
                <w:color w:val="4C473C"/>
                <w:sz w:val="20"/>
                <w:szCs w:val="20"/>
              </w:rPr>
              <w:t xml:space="preserve">Location plus date identifies an encounter</w:t>
            </w:r>
          </w:p>
        </w:tc>
      </w:tr>
      <w:tr>
        <w:tc>
          <w:tcPr>
            <w:tcW w:type="dxa" w:w="2600"/>
            <w:tcMar>
              <w:top w:type="dxa" w:w="120"/>
              <w:left w:type="dxa" w:w="120"/>
              <w:bottom w:type="dxa" w:w="120"/>
              <w:right w:type="dxa" w:w="120"/>
            </w:tcMar>
          </w:tcPr>
          <w:p>
            <w:r>
              <w:rPr>
                <w:rFonts w:ascii="Calibri" w:cs="Calibri" w:eastAsia="Calibri" w:hAnsi="Calibri"/>
                <w:b/>
                <w:bCs/>
                <w:color w:val="1C1A16"/>
                <w:sz w:val="20"/>
                <w:szCs w:val="20"/>
              </w:rPr>
              <w:t xml:space="preserve">Dates and times</w:t>
            </w:r>
          </w:p>
        </w:tc>
        <w:tc>
          <w:tcPr>
            <w:tcW w:type="dxa" w:w="6760"/>
            <w:tcMar>
              <w:top w:type="dxa" w:w="120"/>
              <w:left w:type="dxa" w:w="120"/>
              <w:bottom w:type="dxa" w:w="120"/>
              <w:right w:type="dxa" w:w="120"/>
            </w:tcMar>
          </w:tcPr>
          <w:p>
            <w:r>
              <w:rPr>
                <w:rFonts w:ascii="Calibri" w:cs="Calibri" w:eastAsia="Calibri" w:hAnsi="Calibri"/>
                <w:b w:val="false"/>
                <w:bCs w:val="false"/>
                <w:color w:val="4C473C"/>
                <w:sz w:val="20"/>
                <w:szCs w:val="20"/>
              </w:rPr>
              <w:t xml:space="preserve">A date of service is patient information</w:t>
            </w:r>
          </w:p>
        </w:tc>
      </w:tr>
      <w:tr>
        <w:tc>
          <w:tcPr>
            <w:tcW w:type="dxa" w:w="2600"/>
            <w:tcMar>
              <w:top w:type="dxa" w:w="120"/>
              <w:left w:type="dxa" w:w="120"/>
              <w:bottom w:type="dxa" w:w="120"/>
              <w:right w:type="dxa" w:w="120"/>
            </w:tcMar>
          </w:tcPr>
          <w:p>
            <w:r>
              <w:rPr>
                <w:rFonts w:ascii="Calibri" w:cs="Calibri" w:eastAsia="Calibri" w:hAnsi="Calibri"/>
                <w:b/>
                <w:bCs/>
                <w:color w:val="1C1A16"/>
                <w:sz w:val="20"/>
                <w:szCs w:val="20"/>
              </w:rPr>
              <w:t xml:space="preserve">The only, the one who</w:t>
            </w:r>
          </w:p>
        </w:tc>
        <w:tc>
          <w:tcPr>
            <w:tcW w:type="dxa" w:w="6760"/>
            <w:tcMar>
              <w:top w:type="dxa" w:w="120"/>
              <w:left w:type="dxa" w:w="120"/>
              <w:bottom w:type="dxa" w:w="120"/>
              <w:right w:type="dxa" w:w="120"/>
            </w:tcMar>
          </w:tcPr>
          <w:p>
            <w:r>
              <w:rPr>
                <w:rFonts w:ascii="Calibri" w:cs="Calibri" w:eastAsia="Calibri" w:hAnsi="Calibri"/>
                <w:b w:val="false"/>
                <w:bCs w:val="false"/>
                <w:color w:val="4C473C"/>
                <w:sz w:val="20"/>
                <w:szCs w:val="20"/>
              </w:rPr>
              <w:t xml:space="preserve">Phrases that single somebody out</w:t>
            </w:r>
          </w:p>
        </w:tc>
      </w:tr>
    </w:tbl>
    <w:p>
      <w:r>
        <w:br w:type="page"/>
      </w:r>
    </w:p>
    <w:p>
      <w:pPr>
        <w:pStyle w:val="Heading2"/>
        <w:spacing w:after="120" w:before="320"/>
      </w:pPr>
      <w:r>
        <w:rPr>
          <w:rFonts w:ascii="Georgia" w:cs="Georgia" w:eastAsia="Georgia" w:hAnsi="Georgia"/>
          <w:b/>
          <w:bCs/>
          <w:color w:val="14453B"/>
          <w:sz w:val="26"/>
          <w:szCs w:val="26"/>
        </w:rPr>
        <w:t xml:space="preserve">Keep these out unless the exact workflow is approved</w:t>
      </w:r>
    </w:p>
    <w:p>
      <w:pPr>
        <w:pStyle w:val="ListParagraph"/>
        <w:numPr>
          <w:ilvl w:val="0"/>
          <w:numId w:val="2"/>
        </w:numPr>
        <w:spacing w:after="70"/>
      </w:pPr>
      <w:r>
        <w:rPr>
          <w:rFonts w:ascii="Calibri" w:cs="Calibri" w:eastAsia="Calibri" w:hAnsi="Calibri"/>
          <w:b/>
          <w:bCs/>
          <w:color w:val="1C1A16"/>
          <w:sz w:val="21"/>
          <w:szCs w:val="21"/>
        </w:rPr>
        <w:t xml:space="preserve">Patient information.</w:t>
      </w:r>
      <w:r>
        <w:rPr>
          <w:rFonts w:ascii="Calibri" w:cs="Calibri" w:eastAsia="Calibri" w:hAnsi="Calibri"/>
          <w:color w:val="4C473C"/>
          <w:sz w:val="21"/>
          <w:szCs w:val="21"/>
        </w:rPr>
        <w:t xml:space="preserve"> Do not paste identifiable clinical information into a general AI tool. A HIPAA-regulated organization may use ePHI only in a specifically approved configuration with the required agreements and safeguards.</w:t>
      </w:r>
    </w:p>
    <w:p>
      <w:pPr>
        <w:pStyle w:val="ListParagraph"/>
        <w:numPr>
          <w:ilvl w:val="0"/>
          <w:numId w:val="2"/>
        </w:numPr>
        <w:spacing w:after="70"/>
      </w:pPr>
      <w:r>
        <w:rPr>
          <w:rFonts w:ascii="Calibri" w:cs="Calibri" w:eastAsia="Calibri" w:hAnsi="Calibri"/>
          <w:b/>
          <w:bCs/>
          <w:color w:val="1C1A16"/>
          <w:sz w:val="21"/>
          <w:szCs w:val="21"/>
        </w:rPr>
        <w:t xml:space="preserve">Anyone’s 360 or performance review content.</w:t>
      </w:r>
      <w:r>
        <w:rPr>
          <w:rFonts w:ascii="Calibri" w:cs="Calibri" w:eastAsia="Calibri" w:hAnsi="Calibri"/>
          <w:color w:val="4C473C"/>
          <w:sz w:val="21"/>
          <w:szCs w:val="21"/>
        </w:rPr>
        <w:t xml:space="preserve"> It was given to you under a promise of confidence. That promise did not have an exception for software.</w:t>
      </w:r>
    </w:p>
    <w:p>
      <w:pPr>
        <w:pStyle w:val="ListParagraph"/>
        <w:numPr>
          <w:ilvl w:val="0"/>
          <w:numId w:val="2"/>
        </w:numPr>
        <w:spacing w:after="70"/>
      </w:pPr>
      <w:r>
        <w:rPr>
          <w:rFonts w:ascii="Calibri" w:cs="Calibri" w:eastAsia="Calibri" w:hAnsi="Calibri"/>
          <w:b/>
          <w:bCs/>
          <w:color w:val="1C1A16"/>
          <w:sz w:val="21"/>
          <w:szCs w:val="21"/>
        </w:rPr>
        <w:t xml:space="preserve">Faculty disclosures before they are public.</w:t>
      </w:r>
      <w:r>
        <w:rPr>
          <w:rFonts w:ascii="Calibri" w:cs="Calibri" w:eastAsia="Calibri" w:hAnsi="Calibri"/>
          <w:color w:val="4C473C"/>
          <w:sz w:val="21"/>
          <w:szCs w:val="21"/>
        </w:rPr>
        <w:t xml:space="preserve"> Treat declared financial relationships as sensitive unless your organization has approved the tool and this use. ACCME requires relevant relationships to be disclosed to learners before the education, but that requirement does not authorize AI processing.</w:t>
      </w:r>
    </w:p>
    <w:p>
      <w:pPr>
        <w:pStyle w:val="ListParagraph"/>
        <w:numPr>
          <w:ilvl w:val="0"/>
          <w:numId w:val="2"/>
        </w:numPr>
        <w:spacing w:after="70"/>
      </w:pPr>
      <w:r>
        <w:rPr>
          <w:rFonts w:ascii="Calibri" w:cs="Calibri" w:eastAsia="Calibri" w:hAnsi="Calibri"/>
          <w:b/>
          <w:bCs/>
          <w:color w:val="1C1A16"/>
          <w:sz w:val="21"/>
          <w:szCs w:val="21"/>
        </w:rPr>
        <w:t xml:space="preserve">Anything in an active grievance, investigation or legal matter.</w:t>
      </w:r>
      <w:r>
        <w:rPr>
          <w:rFonts w:ascii="Calibri" w:cs="Calibri" w:eastAsia="Calibri" w:hAnsi="Calibri"/>
          <w:color w:val="4C473C"/>
          <w:sz w:val="21"/>
          <w:szCs w:val="21"/>
        </w:rPr>
        <w:t xml:space="preserve"> Different rules apply and they are not yours to interpret. Talk to HR or your legal contact first.</w:t>
      </w:r>
    </w:p>
    <w:p>
      <w:pPr>
        <w:pStyle w:val="ListParagraph"/>
        <w:numPr>
          <w:ilvl w:val="0"/>
          <w:numId w:val="2"/>
        </w:numPr>
        <w:spacing w:after="70"/>
      </w:pPr>
      <w:r>
        <w:rPr>
          <w:rFonts w:ascii="Calibri" w:cs="Calibri" w:eastAsia="Calibri" w:hAnsi="Calibri"/>
          <w:b/>
          <w:bCs/>
          <w:color w:val="1C1A16"/>
          <w:sz w:val="21"/>
          <w:szCs w:val="21"/>
        </w:rPr>
        <w:t xml:space="preserve">A client’s internal documents.</w:t>
      </w:r>
      <w:r>
        <w:rPr>
          <w:rFonts w:ascii="Calibri" w:cs="Calibri" w:eastAsia="Calibri" w:hAnsi="Calibri"/>
          <w:color w:val="4C473C"/>
          <w:sz w:val="21"/>
          <w:szCs w:val="21"/>
        </w:rPr>
        <w:t xml:space="preserve"> Your engagement terms almost certainly cover this. Check before you assume they do not.</w:t>
      </w:r>
    </w:p>
    <w:p>
      <w:pPr>
        <w:pStyle w:val="ListParagraph"/>
        <w:numPr>
          <w:ilvl w:val="0"/>
          <w:numId w:val="2"/>
        </w:numPr>
        <w:spacing w:after="70"/>
      </w:pPr>
      <w:r>
        <w:rPr>
          <w:rFonts w:ascii="Calibri" w:cs="Calibri" w:eastAsia="Calibri" w:hAnsi="Calibri"/>
          <w:b/>
          <w:bCs/>
          <w:color w:val="1C1A16"/>
          <w:sz w:val="21"/>
          <w:szCs w:val="21"/>
        </w:rPr>
        <w:t xml:space="preserve">Logins and passwords.</w:t>
      </w:r>
      <w:r>
        <w:rPr>
          <w:rFonts w:ascii="Calibri" w:cs="Calibri" w:eastAsia="Calibri" w:hAnsi="Calibri"/>
          <w:color w:val="4C473C"/>
          <w:sz w:val="21"/>
          <w:szCs w:val="21"/>
        </w:rPr>
        <w:t xml:space="preserve"> Never, in any tool, for any reason.</w:t>
      </w:r>
    </w:p>
    <w:p>
      <w:pPr>
        <w:pStyle w:val="Heading2"/>
        <w:spacing w:after="120" w:before="320"/>
      </w:pPr>
      <w:r>
        <w:rPr>
          <w:rFonts w:ascii="Georgia" w:cs="Georgia" w:eastAsia="Georgia" w:hAnsi="Georgia"/>
          <w:b/>
          <w:bCs/>
          <w:color w:val="14453B"/>
          <w:sz w:val="26"/>
          <w:szCs w:val="26"/>
        </w:rPr>
        <w:t xml:space="preserve">Four questions, in order</w:t>
      </w:r>
    </w:p>
    <w:p>
      <w:pPr>
        <w:spacing w:after="160"/>
      </w:pPr>
      <w:r>
        <w:rPr>
          <w:rFonts w:ascii="Calibri" w:cs="Calibri" w:eastAsia="Calibri" w:hAnsi="Calibri"/>
          <w:b w:val="false"/>
          <w:bCs w:val="false"/>
          <w:i w:val="false"/>
          <w:iCs w:val="false"/>
          <w:color w:val="4C473C"/>
          <w:sz w:val="21"/>
          <w:szCs w:val="21"/>
        </w:rPr>
        <w:t xml:space="preserve">Stop at the first one that gives you an answer.</w:t>
      </w:r>
    </w:p>
    <w:p>
      <w:pPr>
        <w:pStyle w:val="ListParagraph"/>
        <w:numPr>
          <w:ilvl w:val="0"/>
          <w:numId w:val="3"/>
        </w:numPr>
        <w:spacing w:after="110"/>
      </w:pPr>
      <w:r>
        <w:rPr>
          <w:rFonts w:ascii="Calibri" w:cs="Calibri" w:eastAsia="Calibri" w:hAnsi="Calibri"/>
          <w:b/>
          <w:bCs/>
          <w:color w:val="1C1A16"/>
          <w:sz w:val="21"/>
          <w:szCs w:val="21"/>
        </w:rPr>
        <w:t xml:space="preserve">Could a colleague read this and work out who it is about?</w:t>
      </w:r>
      <w:r>
        <w:rPr>
          <w:rFonts w:ascii="Calibri" w:cs="Calibri" w:eastAsia="Calibri" w:hAnsi="Calibri"/>
          <w:color w:val="4C473C"/>
          <w:sz w:val="21"/>
          <w:szCs w:val="21"/>
        </w:rPr>
        <w:t xml:space="preserve"> Not "is there a name in it". Could they work it out? One patient with an unusual presentation on a small unit is identifiable with no name attached.</w:t>
      </w:r>
    </w:p>
    <w:p>
      <w:pPr>
        <w:pStyle w:val="ListParagraph"/>
        <w:numPr>
          <w:ilvl w:val="0"/>
          <w:numId w:val="3"/>
        </w:numPr>
        <w:spacing w:after="110"/>
      </w:pPr>
      <w:r>
        <w:rPr>
          <w:rFonts w:ascii="Calibri" w:cs="Calibri" w:eastAsia="Calibri" w:hAnsi="Calibri"/>
          <w:b/>
          <w:bCs/>
          <w:color w:val="1C1A16"/>
          <w:sz w:val="21"/>
          <w:szCs w:val="21"/>
        </w:rPr>
        <w:t xml:space="preserve">Did someone give me this in confidence?</w:t>
      </w:r>
      <w:r>
        <w:rPr>
          <w:rFonts w:ascii="Calibri" w:cs="Calibri" w:eastAsia="Calibri" w:hAnsi="Calibri"/>
          <w:color w:val="4C473C"/>
          <w:sz w:val="21"/>
          <w:szCs w:val="21"/>
        </w:rPr>
        <w:t xml:space="preserve"> The promise was yours to keep. If yes, do this part by hand.</w:t>
      </w:r>
    </w:p>
    <w:p>
      <w:pPr>
        <w:pStyle w:val="ListParagraph"/>
        <w:numPr>
          <w:ilvl w:val="0"/>
          <w:numId w:val="3"/>
        </w:numPr>
        <w:spacing w:after="110"/>
      </w:pPr>
      <w:r>
        <w:rPr>
          <w:rFonts w:ascii="Calibri" w:cs="Calibri" w:eastAsia="Calibri" w:hAnsi="Calibri"/>
          <w:b/>
          <w:bCs/>
          <w:color w:val="1C1A16"/>
          <w:sz w:val="21"/>
          <w:szCs w:val="21"/>
        </w:rPr>
        <w:t xml:space="preserve">Does it belong to somebody else?</w:t>
      </w:r>
      <w:r>
        <w:rPr>
          <w:rFonts w:ascii="Calibri" w:cs="Calibri" w:eastAsia="Calibri" w:hAnsi="Calibri"/>
          <w:color w:val="4C473C"/>
          <w:sz w:val="21"/>
          <w:szCs w:val="21"/>
        </w:rPr>
        <w:t xml:space="preserve"> Check the agreement first, not afterwards.</w:t>
      </w:r>
    </w:p>
    <w:p>
      <w:pPr>
        <w:pStyle w:val="ListParagraph"/>
        <w:numPr>
          <w:ilvl w:val="0"/>
          <w:numId w:val="3"/>
        </w:numPr>
        <w:spacing w:after="110"/>
      </w:pPr>
      <w:r>
        <w:rPr>
          <w:rFonts w:ascii="Calibri" w:cs="Calibri" w:eastAsia="Calibri" w:hAnsi="Calibri"/>
          <w:b/>
          <w:bCs/>
          <w:color w:val="1C1A16"/>
          <w:sz w:val="21"/>
          <w:szCs w:val="21"/>
        </w:rPr>
        <w:t xml:space="preserve">Am I in a tool my organization has approved?</w:t>
      </w:r>
      <w:r>
        <w:rPr>
          <w:rFonts w:ascii="Calibri" w:cs="Calibri" w:eastAsia="Calibri" w:hAnsi="Calibri"/>
          <w:color w:val="4C473C"/>
          <w:sz w:val="21"/>
          <w:szCs w:val="21"/>
        </w:rPr>
        <w:t xml:space="preserve"> The same text may be permitted in one account and prohibited in another. Contracts, administrator controls, retention settings and internal policy all matter.</w:t>
      </w:r>
    </w:p>
    <w:p>
      <w:pPr>
        <w:spacing w:after="220"/>
      </w:pPr>
      <w:r>
        <w:t xml:space="preserve"/>
      </w:r>
    </w:p>
    <w:tbl>
      <w:tblPr>
        <w:tblW w:type="dxa" w:w="9360"/>
        <w:tblBorders>
          <w:top w:val="single" w:color="14453B" w:sz="4"/>
          <w:left w:val="single" w:color="14453B" w:sz="18"/>
          <w:bottom w:val="single" w:color="14453B" w:sz="4"/>
          <w:right w:val="single" w:color="14453B" w:sz="4"/>
          <w:insideH w:val="none" w:color="FFFFFF" w:sz="0"/>
          <w:insideV w:val="none" w:color="FFFFFF" w:sz="0"/>
        </w:tblBorders>
      </w:tblPr>
      <w:tblGrid>
        <w:gridCol w:w="9360"/>
      </w:tblGrid>
      <w:tr>
        <w:tc>
          <w:tcPr>
            <w:tcW w:type="dxa" w:w="9360"/>
            <w:tcMar>
              <w:top w:type="dxa" w:w="160"/>
              <w:left w:type="dxa" w:w="220"/>
              <w:bottom w:type="dxa" w:w="160"/>
              <w:right w:type="dxa" w:w="220"/>
            </w:tcMar>
          </w:tcPr>
          <w:p>
            <w:pPr>
              <w:spacing w:after="90"/>
            </w:pPr>
            <w:r>
              <w:rPr>
                <w:rFonts w:ascii="Calibri" w:cs="Calibri" w:eastAsia="Calibri" w:hAnsi="Calibri"/>
                <w:b/>
                <w:bCs/>
                <w:color w:val="14453B"/>
                <w:spacing w:val="25"/>
                <w:sz w:val="15"/>
                <w:szCs w:val="15"/>
              </w:rPr>
              <w:t xml:space="preserve">IF ALL FOUR COME BACK CLEAN</w:t>
            </w:r>
          </w:p>
          <w:p>
            <w:pPr>
              <w:spacing w:after="0"/>
            </w:pPr>
            <w:r>
              <w:rPr>
                <w:rFonts w:ascii="Calibri" w:cs="Calibri" w:eastAsia="Calibri" w:hAnsi="Calibri"/>
                <w:color w:val="1C1A16"/>
                <w:sz w:val="20"/>
                <w:szCs w:val="20"/>
              </w:rPr>
              <w:t xml:space="preserve">Use the minimum material needed and follow your organization’s policy. Regulated or confidential material belongs only in a workflow explicitly approved for that use.</w:t>
            </w:r>
          </w:p>
        </w:tc>
      </w:tr>
    </w:tbl>
    <w:p>
      <w:pPr>
        <w:spacing w:after="220"/>
      </w:pPr>
      <w:r>
        <w:t xml:space="preserve"/>
      </w:r>
    </w:p>
    <w:p>
      <w:pPr>
        <w:pStyle w:val="Heading2"/>
        <w:spacing w:after="120" w:before="320"/>
      </w:pPr>
      <w:r>
        <w:rPr>
          <w:rFonts w:ascii="Georgia" w:cs="Georgia" w:eastAsia="Georgia" w:hAnsi="Georgia"/>
          <w:b/>
          <w:bCs/>
          <w:color w:val="14453B"/>
          <w:sz w:val="26"/>
          <w:szCs w:val="26"/>
        </w:rPr>
        <w:t xml:space="preserve">Fill this in once</w:t>
      </w:r>
    </w:p>
    <w:tbl>
      <w:tblPr>
        <w:tblW w:type="dxa" w:w="9360"/>
        <w:tblBorders>
          <w:top w:val="single" w:color="CFC8B8" w:sz="4"/>
          <w:left w:val="none" w:color="FFFFFF" w:sz="0"/>
          <w:bottom w:val="single" w:color="CFC8B8" w:sz="4"/>
          <w:right w:val="none" w:color="FFFFFF" w:sz="0"/>
          <w:insideH w:val="single" w:color="CFC8B8" w:sz="4"/>
          <w:insideV w:val="single" w:color="CFC8B8" w:sz="4"/>
        </w:tblBorders>
      </w:tblPr>
      <w:tblGrid>
        <w:gridCol w:w="3100"/>
        <w:gridCol w:w="6260"/>
      </w:tblGrid>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Tools approved for my work</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
            </w:r>
          </w:p>
          <w:p>
            <w:r>
              <w:rPr>
                <w:sz w:val="21"/>
                <w:szCs w:val="21"/>
              </w:rPr>
              <w:t xml:space="preserve"/>
            </w:r>
          </w:p>
        </w:tc>
      </w:tr>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Cleared for confidential data?</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which categories, if any</w:t>
            </w:r>
          </w:p>
          <w:p>
            <w:r>
              <w:rPr>
                <w:sz w:val="21"/>
                <w:szCs w:val="21"/>
              </w:rPr>
              <w:t xml:space="preserve"/>
            </w:r>
          </w:p>
        </w:tc>
      </w:tr>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Who I ask when unsure</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name and email</w:t>
            </w:r>
          </w:p>
          <w:p>
            <w:r>
              <w:rPr>
                <w:sz w:val="21"/>
                <w:szCs w:val="21"/>
              </w:rPr>
              <w:t xml:space="preserve"/>
            </w:r>
          </w:p>
        </w:tc>
      </w:tr>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Who I tell if I get it wrong</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name and email</w:t>
            </w:r>
          </w:p>
          <w:p>
            <w:r>
              <w:rPr>
                <w:sz w:val="21"/>
                <w:szCs w:val="21"/>
              </w:rPr>
              <w:t xml:space="preserve"/>
            </w:r>
          </w:p>
        </w:tc>
      </w:tr>
    </w:tbl>
    <w:sectPr>
      <w:footerReference w:type="default" r:id="rId7"/>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C8B8" w:sz="4" w:space="8"/>
      </w:pBdr>
      <w:jc w:val="left"/>
    </w:pPr>
    <w:r>
      <w:rPr>
        <w:rFonts w:ascii="Calibri" w:cs="Calibri" w:eastAsia="Calibri" w:hAnsi="Calibri"/>
        <w:color w:val="676051"/>
        <w:sz w:val="16"/>
        <w:szCs w:val="16"/>
      </w:rPr>
      <w:t xml:space="preserve">Taking the names out   ·   Better Method   ·   page </w:t>
    </w:r>
    <w:r>
      <w:rPr>
        <w:rFonts w:ascii="Calibri" w:cs="Calibri" w:eastAsia="Calibri" w:hAnsi="Calibri"/>
        <w:color w:val="676051"/>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60"/>
      </w:pPr>
    </w:lvl>
  </w:abstractNum>
  <w:abstractNum w:abstractNumId="3" w15:restartNumberingAfterBreak="0">
    <w:multiLevelType w:val="hybridMultilevel"/>
    <w:lvl w:ilvl="0" w15:tentative="1">
      <w:start w:val="1"/>
      <w:numFmt w:val="decimal"/>
      <w:lvlText w:val="%1."/>
      <w:lvlJc w:val="left"/>
      <w:pPr>
        <w:ind w:left="400" w:hanging="34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Taking the names out</dc:title>
  <dc:creator>Better Method</dc:creator>
  <dc:description>Taking the names out from the Better Method handbook.</dc:description>
  <cp:lastModifiedBy>Un-named</cp:lastModifiedBy>
  <cp:revision>1</cp:revision>
  <dcterms:created xsi:type="dcterms:W3CDTF">2026-07-30T03:34:04.669Z</dcterms:created>
  <dcterms:modified xsi:type="dcterms:W3CDTF">2026-07-30T03:34:04.669Z</dcterms:modified>
</cp:coreProperties>
</file>

<file path=docProps/custom.xml><?xml version="1.0" encoding="utf-8"?>
<Properties xmlns="http://schemas.openxmlformats.org/officeDocument/2006/custom-properties" xmlns:vt="http://schemas.openxmlformats.org/officeDocument/2006/docPropsVTypes"/>
</file>