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Calibri" w:cs="Calibri" w:eastAsia="Calibri" w:hAnsi="Calibri"/>
          <w:b/>
          <w:bCs/>
          <w:color w:val="A2451F"/>
          <w:spacing w:val="30"/>
          <w:sz w:val="15"/>
          <w:szCs w:val="15"/>
        </w:rPr>
        <w:t xml:space="preserve">TEMPLATE 02</w:t>
      </w:r>
    </w:p>
    <w:p>
      <w:pPr>
        <w:pStyle w:val="Heading1"/>
        <w:spacing w:after="80"/>
      </w:pPr>
      <w:r>
        <w:rPr>
          <w:rFonts w:ascii="Georgia" w:cs="Georgia" w:eastAsia="Georgia" w:hAnsi="Georgia"/>
          <w:b/>
          <w:bCs/>
          <w:color w:val="1C1A16"/>
          <w:sz w:val="40"/>
          <w:szCs w:val="40"/>
        </w:rPr>
        <w:t xml:space="preserve">House style sheet</w:t>
      </w:r>
    </w:p>
    <w:p>
      <w:pPr>
        <w:pBdr>
          <w:bottom w:val="single" w:color="CFC8B8" w:sz="6" w:space="12"/>
        </w:pBdr>
        <w:spacing w:after="280"/>
      </w:pPr>
      <w:r>
        <w:rPr>
          <w:rFonts w:ascii="Georgia" w:cs="Georgia" w:eastAsia="Georgia" w:hAnsi="Georgia"/>
          <w:i/>
          <w:iCs/>
          <w:color w:val="4C473C"/>
          <w:sz w:val="22"/>
          <w:szCs w:val="22"/>
        </w:rPr>
        <w:t xml:space="preserve">Your department conventions, written down once. This is the difference between output you have to rewrite and output you have to skim.</w:t>
      </w:r>
    </w:p>
    <w:p>
      <w:pPr>
        <w:spacing w:after="140"/>
      </w:pPr>
      <w:r>
        <w:rPr>
          <w:rFonts w:ascii="Calibri" w:cs="Calibri" w:eastAsia="Calibri" w:hAnsi="Calibri"/>
          <w:b w:val="false"/>
          <w:bCs w:val="false"/>
          <w:i w:val="false"/>
          <w:iCs w:val="false"/>
          <w:color w:val="4C473C"/>
          <w:sz w:val="21"/>
          <w:szCs w:val="21"/>
        </w:rPr>
        <w:t xml:space="preserve">Everything in here is something you already know and have never had to say out loud, because your colleagues absorbed it. A tool has not. Fill this in once and keep it wherever your writing samples live.</w:t>
      </w:r>
    </w:p>
    <w:p>
      <w:pPr>
        <w:pStyle w:val="Heading2"/>
        <w:spacing w:after="120" w:before="320"/>
      </w:pPr>
      <w:r>
        <w:rPr>
          <w:rFonts w:ascii="Georgia" w:cs="Georgia" w:eastAsia="Georgia" w:hAnsi="Georgia"/>
          <w:b/>
          <w:bCs/>
          <w:color w:val="14453B"/>
          <w:sz w:val="26"/>
          <w:szCs w:val="26"/>
        </w:rPr>
        <w:t xml:space="preserve">What we call things</w:t>
      </w:r>
    </w:p>
    <w:tbl>
      <w:tblPr>
        <w:tblW w:type="dxa" w:w="9360"/>
        <w:tblBorders>
          <w:top w:val="single" w:color="CFC8B8" w:sz="4"/>
          <w:left w:val="none" w:color="FFFFFF" w:sz="0"/>
          <w:bottom w:val="single" w:color="CFC8B8" w:sz="4"/>
          <w:right w:val="none" w:color="FFFFFF" w:sz="0"/>
          <w:insideH w:val="single" w:color="CFC8B8" w:sz="4"/>
          <w:insideV w:val="single" w:color="CFC8B8" w:sz="4"/>
        </w:tblBorders>
      </w:tblPr>
      <w:tblGrid>
        <w:gridCol w:w="3100"/>
        <w:gridCol w:w="6260"/>
      </w:tblGrid>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We call them</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participants / learners / attendees / delegates</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We call it</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activity / session / course / program</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Date format</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March 4, 2026</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Our name in full</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and the short form we use after first mention</w:t>
            </w:r>
          </w:p>
          <w:p>
            <w:r>
              <w:rPr>
                <w:sz w:val="21"/>
                <w:szCs w:val="21"/>
              </w:rPr>
              <w:t xml:space="preserve"/>
            </w:r>
          </w:p>
        </w:tc>
      </w:tr>
    </w:tbl>
    <w:p>
      <w:pPr>
        <w:pStyle w:val="Heading2"/>
        <w:spacing w:after="120" w:before="320"/>
      </w:pPr>
      <w:r>
        <w:rPr>
          <w:rFonts w:ascii="Georgia" w:cs="Georgia" w:eastAsia="Georgia" w:hAnsi="Georgia"/>
          <w:b/>
          <w:bCs/>
          <w:color w:val="14453B"/>
          <w:sz w:val="26"/>
          <w:szCs w:val="26"/>
        </w:rPr>
        <w:t xml:space="preserve">How objectives are phrased</w:t>
      </w:r>
    </w:p>
    <w:p>
      <w:pPr>
        <w:spacing w:after="160"/>
      </w:pPr>
      <w:r>
        <w:rPr>
          <w:rFonts w:ascii="Calibri" w:cs="Calibri" w:eastAsia="Calibri" w:hAnsi="Calibri"/>
          <w:b w:val="false"/>
          <w:bCs w:val="false"/>
          <w:i w:val="false"/>
          <w:iCs w:val="false"/>
          <w:color w:val="4C473C"/>
          <w:sz w:val="21"/>
          <w:szCs w:val="21"/>
        </w:rPr>
        <w:t xml:space="preserve">Paste two or three objectives that got through review without comment. Examples teach far better than rules do.</w:t>
      </w:r>
    </w:p>
    <w:tbl>
      <w:tblPr>
        <w:tblW w:type="dxa" w:w="9360"/>
        <w:tblBorders>
          <w:top w:val="single" w:color="CFC8B8" w:sz="4"/>
          <w:left w:val="none" w:color="FFFFFF" w:sz="0"/>
          <w:bottom w:val="single" w:color="CFC8B8" w:sz="4"/>
          <w:right w:val="none" w:color="FFFFFF" w:sz="0"/>
          <w:insideH w:val="single" w:color="CFC8B8" w:sz="4"/>
          <w:insideV w:val="single" w:color="CFC8B8" w:sz="4"/>
        </w:tblBorders>
      </w:tblPr>
      <w:tblGrid>
        <w:gridCol w:w="3100"/>
        <w:gridCol w:w="6260"/>
      </w:tblGrid>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Our standard opening</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"After this activity, participants will be able to..."</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Approved example 1</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Approved example 2</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Approved example 3</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
            </w:r>
          </w:p>
          <w:p>
            <w:r>
              <w:rPr>
                <w:sz w:val="21"/>
                <w:szCs w:val="21"/>
              </w:rPr>
              <w:t xml:space="preserve"/>
            </w:r>
          </w:p>
        </w:tc>
      </w:tr>
    </w:tbl>
    <w:p>
      <w:pPr>
        <w:pStyle w:val="Heading2"/>
        <w:spacing w:after="120" w:before="320"/>
      </w:pPr>
      <w:r>
        <w:rPr>
          <w:rFonts w:ascii="Georgia" w:cs="Georgia" w:eastAsia="Georgia" w:hAnsi="Georgia"/>
          <w:b/>
          <w:bCs/>
          <w:color w:val="14453B"/>
          <w:sz w:val="26"/>
          <w:szCs w:val="26"/>
        </w:rPr>
        <w:t xml:space="preserve">Words</w:t>
      </w:r>
    </w:p>
    <w:tbl>
      <w:tblPr>
        <w:tblW w:type="dxa" w:w="9360"/>
        <w:tblBorders>
          <w:top w:val="single" w:color="CFC8B8" w:sz="4"/>
          <w:left w:val="none" w:color="FFFFFF" w:sz="0"/>
          <w:bottom w:val="single" w:color="CFC8B8" w:sz="4"/>
          <w:right w:val="none" w:color="FFFFFF" w:sz="0"/>
          <w:insideH w:val="single" w:color="CFC8B8" w:sz="4"/>
          <w:insideV w:val="single" w:color="CFC8B8" w:sz="4"/>
        </w:tblBorders>
      </w:tblPr>
      <w:tblGrid>
        <w:gridCol w:w="3100"/>
        <w:gridCol w:w="6260"/>
      </w:tblGrid>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Never use</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robust, leverage, utilize, journey, empower</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Always use</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"faculty" not "speakers"</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Careful with</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words that mean something specific to our accreditor</w:t>
            </w:r>
          </w:p>
          <w:p>
            <w:r>
              <w:rPr>
                <w:sz w:val="21"/>
                <w:szCs w:val="21"/>
              </w:rPr>
              <w:t xml:space="preserve"/>
            </w:r>
          </w:p>
        </w:tc>
      </w:tr>
    </w:tbl>
    <w:p>
      <w:pPr>
        <w:pStyle w:val="Heading2"/>
        <w:spacing w:after="120" w:before="320"/>
      </w:pPr>
      <w:r>
        <w:rPr>
          <w:rFonts w:ascii="Georgia" w:cs="Georgia" w:eastAsia="Georgia" w:hAnsi="Georgia"/>
          <w:b/>
          <w:bCs/>
          <w:color w:val="14453B"/>
          <w:sz w:val="26"/>
          <w:szCs w:val="26"/>
        </w:rPr>
        <w:t xml:space="preserve">Tone, by document type</w:t>
      </w:r>
    </w:p>
    <w:tbl>
      <w:tblPr>
        <w:tblW w:type="dxa" w:w="9360"/>
        <w:tblBorders>
          <w:top w:val="single" w:color="CFC8B8" w:sz="4"/>
          <w:left w:val="none" w:color="FFFFFF" w:sz="0"/>
          <w:bottom w:val="single" w:color="CFC8B8" w:sz="4"/>
          <w:right w:val="none" w:color="FFFFFF" w:sz="0"/>
          <w:insideH w:val="single" w:color="CFC8B8" w:sz="4"/>
          <w:insideV w:val="single" w:color="CFC8B8" w:sz="4"/>
        </w:tblBorders>
      </w:tblPr>
      <w:tblGrid>
        <w:gridCol w:w="3100"/>
        <w:gridCol w:w="6260"/>
      </w:tblGrid>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Accreditation documents</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plain, factual, no promotional language at all</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Participant-facing</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warm but brief, no exclamation marks</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Marketing</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more energy is fine, still no superlatives</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Faculty correspondence</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see my voice profile</w:t>
            </w:r>
          </w:p>
          <w:p>
            <w:r>
              <w:rPr>
                <w:sz w:val="21"/>
                <w:szCs w:val="21"/>
              </w:rPr>
              <w:t xml:space="preserve"/>
            </w:r>
          </w:p>
        </w:tc>
      </w:tr>
    </w:tbl>
    <w:p>
      <w:r>
        <w:br w:type="page"/>
      </w:r>
    </w:p>
    <w:p>
      <w:pPr>
        <w:pStyle w:val="Heading2"/>
        <w:spacing w:after="120" w:before="320"/>
      </w:pPr>
      <w:r>
        <w:rPr>
          <w:rFonts w:ascii="Georgia" w:cs="Georgia" w:eastAsia="Georgia" w:hAnsi="Georgia"/>
          <w:b/>
          <w:bCs/>
          <w:color w:val="14453B"/>
          <w:sz w:val="26"/>
          <w:szCs w:val="26"/>
        </w:rPr>
        <w:t xml:space="preserve">Standing rules</w:t>
      </w:r>
    </w:p>
    <w:p>
      <w:pPr>
        <w:spacing w:after="180"/>
      </w:pPr>
      <w:r>
        <w:rPr>
          <w:rFonts w:ascii="Calibri" w:cs="Calibri" w:eastAsia="Calibri" w:hAnsi="Calibri"/>
          <w:b w:val="false"/>
          <w:bCs w:val="false"/>
          <w:i w:val="false"/>
          <w:iCs w:val="false"/>
          <w:color w:val="4C473C"/>
          <w:sz w:val="21"/>
          <w:szCs w:val="21"/>
        </w:rPr>
        <w:t xml:space="preserve">Paste these into any request that touches real data. The first four are worth keeping as written. Add your own underneath.</w:t>
      </w:r>
    </w:p>
    <w:tbl>
      <w:tblPr>
        <w:tblW w:type="dxa" w:w="9360"/>
        <w:tblBorders>
          <w:top w:val="single" w:color="CFC8B8" w:sz="4"/>
          <w:left w:val="single" w:color="14453B" w:sz="18"/>
          <w:bottom w:val="single" w:color="CFC8B8" w:sz="4"/>
          <w:right w:val="single" w:color="CFC8B8" w:sz="4"/>
          <w:insideH w:val="none" w:color="FFFFFF" w:sz="0"/>
          <w:insideV w:val="none" w:color="FFFFFF" w:sz="0"/>
        </w:tblBorders>
      </w:tblPr>
      <w:tblGrid>
        <w:gridCol w:w="9360"/>
      </w:tblGrid>
      <w:tr>
        <w:tc>
          <w:tcPr>
            <w:tcW w:type="dxa" w:w="9360"/>
            <w:shd w:fill="F6F2E9" w:color="auto" w:val="clear"/>
            <w:tcMar>
              <w:top w:type="dxa" w:w="180"/>
              <w:left w:type="dxa" w:w="220"/>
              <w:bottom w:type="dxa" w:w="180"/>
              <w:right w:type="dxa" w:w="220"/>
            </w:tcMar>
          </w:tcPr>
          <w:p>
            <w:pPr>
              <w:spacing w:after="100"/>
            </w:pPr>
            <w:r>
              <w:rPr>
                <w:rFonts w:ascii="Calibri" w:cs="Calibri" w:eastAsia="Calibri" w:hAnsi="Calibri"/>
                <w:b/>
                <w:bCs/>
                <w:color w:val="14453B"/>
                <w:spacing w:val="30"/>
                <w:sz w:val="14"/>
                <w:szCs w:val="14"/>
              </w:rPr>
              <w:t xml:space="preserve">STANDING RULES</w:t>
            </w:r>
          </w:p>
          <w:p>
            <w:pPr>
              <w:spacing w:after="40"/>
            </w:pPr>
            <w:r>
              <w:rPr>
                <w:rFonts w:ascii="Consolas" w:cs="Consolas" w:eastAsia="Consolas" w:hAnsi="Consolas"/>
                <w:color w:val="1C1A16"/>
                <w:sz w:val="18"/>
                <w:szCs w:val="18"/>
              </w:rPr>
              <w:t xml:space="preserve">Work only from the material I have given you. Do not add facts,</w:t>
            </w:r>
          </w:p>
          <w:p>
            <w:pPr>
              <w:spacing w:after="40"/>
            </w:pPr>
            <w:r>
              <w:rPr>
                <w:rFonts w:ascii="Consolas" w:cs="Consolas" w:eastAsia="Consolas" w:hAnsi="Consolas"/>
                <w:color w:val="1C1A16"/>
                <w:sz w:val="18"/>
                <w:szCs w:val="18"/>
              </w:rPr>
              <w:t xml:space="preserve">figures, citations, guideline references or examples from any other</w:t>
            </w:r>
          </w:p>
          <w:p>
            <w:pPr>
              <w:spacing w:after="40"/>
            </w:pPr>
            <w:r>
              <w:rPr>
                <w:rFonts w:ascii="Consolas" w:cs="Consolas" w:eastAsia="Consolas" w:hAnsi="Consolas"/>
                <w:color w:val="1C1A16"/>
                <w:sz w:val="18"/>
                <w:szCs w:val="18"/>
              </w:rPr>
              <w:t xml:space="preserve">source. If something is missing that you need, write</w:t>
            </w:r>
          </w:p>
          <w:p>
            <w:pPr>
              <w:spacing w:after="40"/>
            </w:pPr>
            <w:r>
              <w:rPr>
                <w:rFonts w:ascii="Consolas" w:cs="Consolas" w:eastAsia="Consolas" w:hAnsi="Consolas"/>
                <w:color w:val="1C1A16"/>
                <w:sz w:val="18"/>
                <w:szCs w:val="18"/>
              </w:rPr>
              <w:t xml:space="preserve">[NEEDS: what is missing] instead of filling the gap.</w:t>
            </w:r>
          </w:p>
          <w:p>
            <w:pPr>
              <w:spacing w:after="100"/>
            </w:pPr>
            <w:r>
              <w:rPr>
                <w:rFonts w:ascii="Consolas" w:cs="Consolas" w:eastAsia="Consolas" w:hAnsi="Consolas"/>
                <w:color w:val="1C1A16"/>
                <w:sz w:val="18"/>
                <w:szCs w:val="18"/>
              </w:rPr>
              <w:t xml:space="preserve"/>
            </w:r>
          </w:p>
          <w:p>
            <w:pPr>
              <w:spacing w:after="40"/>
            </w:pPr>
            <w:r>
              <w:rPr>
                <w:rFonts w:ascii="Consolas" w:cs="Consolas" w:eastAsia="Consolas" w:hAnsi="Consolas"/>
                <w:color w:val="1C1A16"/>
                <w:sz w:val="18"/>
                <w:szCs w:val="18"/>
              </w:rPr>
              <w:t xml:space="preserve">Never state an outcome level higher than what was actually measured.</w:t>
            </w:r>
          </w:p>
          <w:p>
            <w:pPr>
              <w:spacing w:after="40"/>
            </w:pPr>
            <w:r>
              <w:rPr>
                <w:rFonts w:ascii="Consolas" w:cs="Consolas" w:eastAsia="Consolas" w:hAnsi="Consolas"/>
                <w:color w:val="1C1A16"/>
                <w:sz w:val="18"/>
                <w:szCs w:val="18"/>
              </w:rPr>
              <w:t xml:space="preserve">Self-reported intent is not observed practice.</w:t>
            </w:r>
          </w:p>
          <w:p>
            <w:pPr>
              <w:spacing w:after="100"/>
            </w:pPr>
            <w:r>
              <w:rPr>
                <w:rFonts w:ascii="Consolas" w:cs="Consolas" w:eastAsia="Consolas" w:hAnsi="Consolas"/>
                <w:color w:val="1C1A16"/>
                <w:sz w:val="18"/>
                <w:szCs w:val="18"/>
              </w:rPr>
              <w:t xml:space="preserve"/>
            </w:r>
          </w:p>
          <w:p>
            <w:pPr>
              <w:spacing w:after="40"/>
            </w:pPr>
            <w:r>
              <w:rPr>
                <w:rFonts w:ascii="Consolas" w:cs="Consolas" w:eastAsia="Consolas" w:hAnsi="Consolas"/>
                <w:color w:val="1C1A16"/>
                <w:sz w:val="18"/>
                <w:szCs w:val="18"/>
              </w:rPr>
              <w:t xml:space="preserve">Never round a figure to make it read better.</w:t>
            </w:r>
          </w:p>
          <w:p>
            <w:pPr>
              <w:spacing w:after="100"/>
            </w:pPr>
            <w:r>
              <w:rPr>
                <w:rFonts w:ascii="Consolas" w:cs="Consolas" w:eastAsia="Consolas" w:hAnsi="Consolas"/>
                <w:color w:val="1C1A16"/>
                <w:sz w:val="18"/>
                <w:szCs w:val="18"/>
              </w:rPr>
              <w:t xml:space="preserve"/>
            </w:r>
          </w:p>
          <w:p>
            <w:pPr>
              <w:spacing w:after="40"/>
            </w:pPr>
            <w:r>
              <w:rPr>
                <w:rFonts w:ascii="Consolas" w:cs="Consolas" w:eastAsia="Consolas" w:hAnsi="Consolas"/>
                <w:color w:val="1C1A16"/>
                <w:sz w:val="18"/>
                <w:szCs w:val="18"/>
              </w:rPr>
              <w:t xml:space="preserve">No promotional language in accreditation documents.</w:t>
            </w:r>
          </w:p>
        </w:tc>
      </w:tr>
    </w:tbl>
    <w:p>
      <w:pPr>
        <w:spacing w:after="200"/>
      </w:pPr>
      <w:r>
        <w:t xml:space="preserve"/>
      </w:r>
    </w:p>
    <w:p>
      <w:pPr>
        <w:spacing w:after="60" w:before="160"/>
      </w:pPr>
      <w:r>
        <w:rPr>
          <w:rFonts w:ascii="Calibri" w:cs="Calibri" w:eastAsia="Calibri" w:hAnsi="Calibri"/>
          <w:b/>
          <w:bCs/>
          <w:color w:val="1C1A16"/>
          <w:sz w:val="19"/>
          <w:szCs w:val="19"/>
        </w:rPr>
        <w:t xml:space="preserve">Our additional standing rules</w:t>
      </w:r>
    </w:p>
    <w:p>
      <w:pPr>
        <w:pBdr>
          <w:bottom w:val="single" w:color="CFC8B8" w:sz="4" w:space="4"/>
        </w:pBdr>
        <w:spacing w:after="200"/>
      </w:pPr>
      <w:r>
        <w:rPr>
          <w:rFonts w:ascii="Calibri" w:cs="Calibri" w:eastAsia="Calibri" w:hAnsi="Calibri"/>
          <w:sz w:val="21"/>
          <w:szCs w:val="21"/>
        </w:rPr>
        <w:t xml:space="preserve"/>
      </w:r>
    </w:p>
    <w:p>
      <w:pPr>
        <w:pBdr>
          <w:bottom w:val="single" w:color="CFC8B8" w:sz="4" w:space="4"/>
        </w:pBdr>
        <w:spacing w:after="200"/>
      </w:pPr>
      <w:r>
        <w:rPr>
          <w:rFonts w:ascii="Calibri" w:cs="Calibri" w:eastAsia="Calibri" w:hAnsi="Calibri"/>
          <w:sz w:val="21"/>
          <w:szCs w:val="21"/>
        </w:rPr>
        <w:t xml:space="preserve"/>
      </w:r>
    </w:p>
    <w:p>
      <w:pPr>
        <w:pBdr>
          <w:bottom w:val="single" w:color="CFC8B8" w:sz="4" w:space="4"/>
        </w:pBdr>
        <w:spacing w:after="200"/>
      </w:pPr>
      <w:r>
        <w:rPr>
          <w:rFonts w:ascii="Calibri" w:cs="Calibri" w:eastAsia="Calibri" w:hAnsi="Calibri"/>
          <w:sz w:val="21"/>
          <w:szCs w:val="21"/>
        </w:rPr>
        <w:t xml:space="preserve"/>
      </w:r>
    </w:p>
    <w:p>
      <w:pPr>
        <w:pBdr>
          <w:bottom w:val="single" w:color="CFC8B8" w:sz="4" w:space="4"/>
        </w:pBdr>
        <w:spacing w:after="200"/>
      </w:pPr>
      <w:r>
        <w:rPr>
          <w:rFonts w:ascii="Calibri" w:cs="Calibri" w:eastAsia="Calibri" w:hAnsi="Calibri"/>
          <w:sz w:val="21"/>
          <w:szCs w:val="21"/>
        </w:rPr>
        <w:t xml:space="preserve"/>
      </w:r>
    </w:p>
    <w:p>
      <w:pPr>
        <w:pStyle w:val="Heading2"/>
        <w:spacing w:after="120" w:before="320"/>
      </w:pPr>
      <w:r>
        <w:rPr>
          <w:rFonts w:ascii="Georgia" w:cs="Georgia" w:eastAsia="Georgia" w:hAnsi="Georgia"/>
          <w:b/>
          <w:bCs/>
          <w:color w:val="14453B"/>
          <w:sz w:val="26"/>
          <w:szCs w:val="26"/>
        </w:rPr>
        <w:t xml:space="preserve">The things our reviewers always change</w:t>
      </w:r>
    </w:p>
    <w:p>
      <w:pPr>
        <w:spacing w:after="180"/>
      </w:pPr>
      <w:r>
        <w:rPr>
          <w:rFonts w:ascii="Calibri" w:cs="Calibri" w:eastAsia="Calibri" w:hAnsi="Calibri"/>
          <w:b w:val="false"/>
          <w:bCs w:val="false"/>
          <w:i w:val="false"/>
          <w:iCs w:val="false"/>
          <w:color w:val="4C473C"/>
          <w:sz w:val="21"/>
          <w:szCs w:val="21"/>
        </w:rPr>
        <w:t xml:space="preserve">This is the most valuable box on the page and the one people leave blank. Every department has three or four corrections that come back every single time. Write them down and they stop coming back.</w:t>
      </w:r>
    </w:p>
    <w:p>
      <w:pPr>
        <w:pBdr>
          <w:bottom w:val="single" w:color="CFC8B8" w:sz="4" w:space="4"/>
        </w:pBdr>
        <w:spacing w:after="200"/>
      </w:pPr>
      <w:r>
        <w:rPr>
          <w:rFonts w:ascii="Calibri" w:cs="Calibri" w:eastAsia="Calibri" w:hAnsi="Calibri"/>
          <w:sz w:val="21"/>
          <w:szCs w:val="21"/>
        </w:rPr>
        <w:t xml:space="preserve"/>
      </w:r>
    </w:p>
    <w:p>
      <w:pPr>
        <w:pBdr>
          <w:bottom w:val="single" w:color="CFC8B8" w:sz="4" w:space="4"/>
        </w:pBdr>
        <w:spacing w:after="200"/>
      </w:pPr>
      <w:r>
        <w:rPr>
          <w:rFonts w:ascii="Calibri" w:cs="Calibri" w:eastAsia="Calibri" w:hAnsi="Calibri"/>
          <w:sz w:val="21"/>
          <w:szCs w:val="21"/>
        </w:rPr>
        <w:t xml:space="preserve"/>
      </w:r>
    </w:p>
    <w:p>
      <w:pPr>
        <w:pBdr>
          <w:bottom w:val="single" w:color="CFC8B8" w:sz="4" w:space="4"/>
        </w:pBdr>
        <w:spacing w:after="200"/>
      </w:pPr>
      <w:r>
        <w:rPr>
          <w:rFonts w:ascii="Calibri" w:cs="Calibri" w:eastAsia="Calibri" w:hAnsi="Calibri"/>
          <w:sz w:val="21"/>
          <w:szCs w:val="21"/>
        </w:rPr>
        <w:t xml:space="preserve"/>
      </w:r>
    </w:p>
    <w:p>
      <w:pPr>
        <w:pBdr>
          <w:bottom w:val="single" w:color="CFC8B8" w:sz="4" w:space="4"/>
        </w:pBdr>
        <w:spacing w:after="200"/>
      </w:pPr>
      <w:r>
        <w:rPr>
          <w:rFonts w:ascii="Calibri" w:cs="Calibri" w:eastAsia="Calibri" w:hAnsi="Calibri"/>
          <w:sz w:val="21"/>
          <w:szCs w:val="21"/>
        </w:rPr>
        <w:t xml:space="preserve"/>
      </w:r>
    </w:p>
    <w:p>
      <w:pPr>
        <w:spacing w:after="160"/>
      </w:pPr>
      <w:r>
        <w:t xml:space="preserve"/>
      </w:r>
    </w:p>
    <w:p>
      <w:pPr>
        <w:pStyle w:val="Heading2"/>
        <w:spacing w:after="120" w:before="320"/>
      </w:pPr>
      <w:r>
        <w:rPr>
          <w:rFonts w:ascii="Georgia" w:cs="Georgia" w:eastAsia="Georgia" w:hAnsi="Georgia"/>
          <w:b/>
          <w:bCs/>
          <w:color w:val="14453B"/>
          <w:sz w:val="26"/>
          <w:szCs w:val="26"/>
        </w:rPr>
        <w:t xml:space="preserve">Where our examples live</w:t>
      </w:r>
    </w:p>
    <w:tbl>
      <w:tblPr>
        <w:tblW w:type="dxa" w:w="9360"/>
        <w:tblBorders>
          <w:top w:val="single" w:color="CFC8B8" w:sz="4"/>
          <w:left w:val="none" w:color="FFFFFF" w:sz="0"/>
          <w:bottom w:val="single" w:color="CFC8B8" w:sz="4"/>
          <w:right w:val="none" w:color="FFFFFF" w:sz="0"/>
          <w:insideH w:val="single" w:color="CFC8B8" w:sz="4"/>
          <w:insideV w:val="single" w:color="CFC8B8" w:sz="4"/>
        </w:tblBorders>
      </w:tblPr>
      <w:tblGrid>
        <w:gridCol w:w="3100"/>
        <w:gridCol w:w="6260"/>
      </w:tblGrid>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Approved reports</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folder or link</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Approved objectives</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folder or link</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Report template</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folder or link</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Who to ask about wording</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name</w:t>
            </w:r>
          </w:p>
          <w:p>
            <w:r>
              <w:rPr>
                <w:sz w:val="21"/>
                <w:szCs w:val="21"/>
              </w:rPr>
              <w:t xml:space="preserve"/>
            </w:r>
          </w:p>
        </w:tc>
      </w:tr>
    </w:tbl>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C8B8" w:sz="4" w:space="8"/>
      </w:pBdr>
      <w:jc w:val="left"/>
    </w:pPr>
    <w:r>
      <w:rPr>
        <w:rFonts w:ascii="Calibri" w:cs="Calibri" w:eastAsia="Calibri" w:hAnsi="Calibri"/>
        <w:color w:val="676051"/>
        <w:sz w:val="16"/>
        <w:szCs w:val="16"/>
      </w:rPr>
      <w:t xml:space="preserve">House style sheet   ·   Better Method   ·   page </w:t>
    </w:r>
    <w:r>
      <w:rPr>
        <w:rFonts w:ascii="Calibri" w:cs="Calibri" w:eastAsia="Calibri" w:hAnsi="Calibri"/>
        <w:color w:val="676051"/>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abstractNum w:abstractNumId="3" w15:restartNumberingAfterBreak="0">
    <w:multiLevelType w:val="hybridMultilevel"/>
    <w:lvl w:ilvl="0" w15:tentative="1">
      <w:start w:val="1"/>
      <w:numFmt w:val="decimal"/>
      <w:lvlText w:val="%1."/>
      <w:lvlJc w:val="left"/>
      <w:pPr>
        <w:ind w:left="400" w:hanging="3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 style sheet</dc:title>
  <dc:creator>Better Method</dc:creator>
  <dc:description>House style sheet from the Better Method handbook.</dc:description>
  <cp:lastModifiedBy>Un-named</cp:lastModifiedBy>
  <cp:revision>1</cp:revision>
  <dcterms:created xsi:type="dcterms:W3CDTF">2026-07-30T03:34:04.667Z</dcterms:created>
  <dcterms:modified xsi:type="dcterms:W3CDTF">2026-07-30T03:34:04.667Z</dcterms:modified>
</cp:coreProperties>
</file>

<file path=docProps/custom.xml><?xml version="1.0" encoding="utf-8"?>
<Properties xmlns="http://schemas.openxmlformats.org/officeDocument/2006/custom-properties" xmlns:vt="http://schemas.openxmlformats.org/officeDocument/2006/docPropsVTypes"/>
</file>