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 standalone="yes"?><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<w:body><w:p><w:pPr><w:spacing w:after="200"/></w:pPr><w:r><w:rPr><w:rFonts w:ascii="Calibri" w:cs="Calibri" w:eastAsia="Calibri" w:hAnsi="Calibri"/><w:b/><w:bCs/><w:color w:val="A2451F"/><w:spacing w:val="30"/><w:sz w:val="15"/><w:szCs w:val="15"/></w:rPr><w:t xml:space="preserve">TEMPLATE 11</w:t></w:r></w:p><w:p><w:pPr><w:pStyle w:val="Heading1"/><w:spacing w:after="80"/></w:pPr><w:r><w:rPr><w:rFonts w:ascii="Georgia" w:cs="Georgia" w:eastAsia="Georgia" w:hAnsi="Georgia"/><w:b/><w:bCs/><w:color w:val="1C1A16"/><w:sz w:val="40"/><w:szCs w:val="40"/></w:rPr><w:t xml:space="preserve">Activity-file audit</w:t></w:r></w:p><w:p><w:pPr><w:pBdr><w:bottom w:val="single" w:color="CFC8B8" w:sz="6" w:space="12"/></w:pBdr><w:spacing w:after="280"/></w:pPr><w:r><w:rPr><w:rFonts w:ascii="Georgia" w:cs="Georgia" w:eastAsia="Georgia" w:hAnsi="Georgia"/><w:i/><w:iCs/><w:color w:val="4C473C"/><w:sz w:val="22"/><w:szCs w:val="22"/></w:rPr><w:t xml:space="preserve">For a consultant or interim director opening a stranger’s SharePoint. Tick what is actually in the folder. A model may help you list holes. It may not fill them.</w:t></w:r></w:p><w:tbl><w:tblPr><w:tblW w:type="dxa" w:w="9360"/><w:tblBorders><w:top w:val="single" w:color="CFC8B8" w:sz="4"/><w:left w:val="none" w:color="FFFFFF" w:sz="0"/><w:bottom w:val="single" w:color="CFC8B8" w:sz="4"/><w:right w:val="none" w:color="FFFFFF" w:sz="0"/><w:insideH w:val="single" w:color="CFC8B8" w:sz="4"/><w:insideV w:val="single" w:color="CFC8B8" w:sz="4"/></w:tblBorders></w:tblPr><w:tblGrid><w:gridCol w:w="3100"/><w:gridCol w:w="6260"/></w:tblGrid><w:tr><w:tc><w:tcPr><w:tcW w:type="dxa" w:w="3100"/><w:shd w:fill="F6F2E9" w:color="auto" w:val="clear"/><w:tcMar><w:top w:type="dxa" w:w="130"/><w:left w:type="dxa" w:w="160"/><w:bottom w:type="dxa" w:w="130"/><w:right w:type="dxa" w:w="160"/></w:tcMar></w:tcPr><w:p><w:r><w:rPr><w:rFonts w:ascii="Calibri" w:cs="Calibri" w:eastAsia="Calibri" w:hAnsi="Calibri"/><w:b/><w:bCs/><w:color w:val="1C1A16"/><w:sz w:val="20"/><w:szCs w:val="20"/></w:rPr><w:t xml:space="preserve">Activity title</w:t></w:r></w:p></w:tc><w:tc><w:tcPr><w:tcW w:type="dxa" w:w="6260"/><w:tcMar><w:top w:type="dxa" w:w="130"/><w:left w:type="dxa" w:w="160"/><w:bottom w:type="dxa" w:w="130"/><w:right w:type="dxa" w:w="160"/></w:tcMar></w:tcPr><w:p><w:r><w:rPr><w:rFonts w:ascii="Calibri" w:cs="Calibri" w:eastAsia="Calibri" w:hAnsi="Calibri"/><w:i/><w:iCs/><w:color w:val="676051"/><w:sz w:val="19"/><w:szCs w:val="19"/></w:rPr><w:t xml:space="preserve">as learners saw it</w:t></w:r></w:p><w:p><w:r><w:rPr><w:sz w:val="21"/><w:szCs w:val="21"/></w:rPr><w:t xml:space="preserve"></w:t></w:r></w:p></w:tc></w:tr><w:tr><w:tc><w:tcPr><w:tcW w:type="dxa" w:w="3100"/><w:shd w:fill="F6F2E9" w:color="auto" w:val="clear"/><w:tcMar><w:top w:type="dxa" w:w="130"/><w:left w:type="dxa" w:w="160"/><w:bottom w:type="dxa" w:w="130"/><w:right w:type="dxa" w:w="160"/></w:tcMar></w:tcPr><w:p><w:r><w:rPr><w:rFonts w:ascii="Calibri" w:cs="Calibri" w:eastAsia="Calibri" w:hAnsi="Calibri"/><w:b/><w:bCs/><w:color w:val="1C1A16"/><w:sz w:val="20"/><w:szCs w:val="20"/></w:rPr><w:t xml:space="preserve">Provider / joint provider</w:t></w:r></w:p></w:tc><w:tc><w:tcPr><w:tcW w:type="dxa" w:w="6260"/><w:tcMar><w:top w:type="dxa" w:w="130"/><w:left w:type="dxa" w:w="160"/><w:bottom w:type="dxa" w:w="130"/><w:right w:type="dxa" w:w="160"/></w:tcMar></w:tcPr><w:p><w:r><w:rPr><w:rFonts w:ascii="Calibri" w:cs="Calibri" w:eastAsia="Calibri" w:hAnsi="Calibri"/><w:i/><w:iCs/><w:color w:val="676051"/><w:sz w:val="19"/><w:szCs w:val="19"/></w:rPr><w:t xml:space="preserve">who is accredited</w:t></w:r></w:p><w:p><w:r><w:rPr><w:sz w:val="21"/><w:szCs w:val="21"/></w:rPr><w:t xml:space="preserve"></w:t></w:r></w:p></w:tc></w:tr><w:tr><w:tc><w:tcPr><w:tcW w:type="dxa" w:w="3100"/><w:shd w:fill="F6F2E9" w:color="auto" w:val="clear"/><w:tcMar><w:top w:type="dxa" w:w="130"/><w:left w:type="dxa" w:w="160"/><w:bottom w:type="dxa" w:w="130"/><w:right w:type="dxa" w:w="160"/></w:tcMar></w:tcPr><w:p><w:r><w:rPr><w:rFonts w:ascii="Calibri" w:cs="Calibri" w:eastAsia="Calibri" w:hAnsi="Calibri"/><w:b/><w:bCs/><w:color w:val="1C1A16"/><w:sz w:val="20"/><w:szCs w:val="20"/></w:rPr><w:t xml:space="preserve">Dates</w:t></w:r></w:p></w:tc><w:tc><w:tcPr><w:tcW w:type="dxa" w:w="6260"/><w:tcMar><w:top w:type="dxa" w:w="130"/><w:left w:type="dxa" w:w="160"/><w:bottom w:type="dxa" w:w="130"/><w:right w:type="dxa" w:w="160"/></w:tcMar></w:tcPr><w:p><w:r><w:rPr><w:rFonts w:ascii="Calibri" w:cs="Calibri" w:eastAsia="Calibri" w:hAnsi="Calibri"/><w:i/><w:iCs/><w:color w:val="676051"/><w:sz w:val="19"/><w:szCs w:val="19"/></w:rPr><w:t xml:space="preserve">start, end, or session range</w:t></w:r></w:p><w:p><w:r><w:rPr><w:sz w:val="21"/><w:szCs w:val="21"/></w:rPr><w:t xml:space="preserve"></w:t></w:r></w:p></w:tc></w:tr><w:tr><w:tc><w:tcPr><w:tcW w:type="dxa" w:w="3100"/><w:shd w:fill="F6F2E9" w:color="auto" w:val="clear"/><w:tcMar><w:top w:type="dxa" w:w="130"/><w:left w:type="dxa" w:w="160"/><w:bottom w:type="dxa" w:w="130"/><w:right w:type="dxa" w:w="160"/></w:tcMar></w:tcPr><w:p><w:r><w:rPr><w:rFonts w:ascii="Calibri" w:cs="Calibri" w:eastAsia="Calibri" w:hAnsi="Calibri"/><w:b/><w:bCs/><w:color w:val="1C1A16"/><w:sz w:val="20"/><w:szCs w:val="20"/></w:rPr><w:t xml:space="preserve">Auditor</w:t></w:r></w:p></w:tc><w:tc><w:tcPr><w:tcW w:type="dxa" w:w="6260"/><w:tcMar><w:top w:type="dxa" w:w="130"/><w:left w:type="dxa" w:w="160"/><w:bottom w:type="dxa" w:w="130"/><w:right w:type="dxa" w:w="160"/></w:tcMar></w:tcPr><w:p><w:r><w:rPr><w:rFonts w:ascii="Calibri" w:cs="Calibri" w:eastAsia="Calibri" w:hAnsi="Calibri"/><w:i/><w:iCs/><w:color w:val="676051"/><w:sz w:val="19"/><w:szCs w:val="19"/></w:rPr><w:t xml:space="preserve">name and date</w:t></w:r></w:p><w:p><w:r><w:rPr><w:sz w:val="21"/><w:szCs w:val="21"/></w:rPr><w:t xml:space="preserve"></w:t></w:r></w:p></w:tc></w:tr></w:tbl><w:tbl><w:tblPr><w:tblW w:type="dxa" w:w="9360"/><w:tblBorders><w:top w:val="single" w:color="A2451F" w:sz="4"/><w:left w:val="single" w:color="A2451F" w:sz="18"/><w:bottom w:val="single" w:color="A2451F" w:sz="4"/><w:right w:val="single" w:color="A2451F" w:sz="4"/><w:insideH w:val="none" w:color="FFFFFF" w:sz="0"/><w:insideV w:val="none" w:color="FFFFFF" w:sz="0"/></w:tblBorders></w:tblPr><w:tblGrid><w:gridCol w:w="9360"/></w:tblGrid><w:tr><w:tc><w:tcPr><w:tcW w:type="dxa" w:w="9360"/><w:tcMar><w:top w:type="dxa" w:w="160"/><w:left w:type="dxa" w:w="220"/><w:bottom w:type="dxa" w:w="160"/><w:right w:type="dxa" w:w="220"/></w:tcMar></w:tcPr><w:p><w:pPr><w:spacing w:after="90"/></w:pPr><w:r><w:rPr><w:rFonts w:ascii="Calibri" w:cs="Calibri" w:eastAsia="Calibri" w:hAnsi="Calibri"/><w:b/><w:bCs/><w:color w:val="A2451F"/><w:spacing w:val="25"/><w:sz w:val="15"/><w:szCs w:val="15"/></w:rPr><w:t xml:space="preserve">FOUND, NOT RECONSTRUCTED</w:t></w:r></w:p><w:p><w:pPr><w:spacing w:after="90"/></w:pPr><w:r><w:rPr><w:rFonts w:ascii="Calibri" w:cs="Calibri" w:eastAsia="Calibri" w:hAnsi="Calibri"/><w:color w:val="1C1A16"/><w:sz w:val="20"/><w:szCs w:val="20"/></w:rPr><w:t xml:space="preserve">A fluent cover memo is not a file. If the gap, the disclosure, or the learner count is not in the folder, write MISSING. Do not ask a tool to invent a needs assessment from a title, a mitigation step nobody took, or a PARS number you have not exported.</w:t></w:r></w:p><w:p><w:pPr><w:spacing w:after="0"/></w:pPr><w:r><w:rPr><w:rFonts w:ascii="Calibri" w:cs="Calibri" w:eastAsia="Calibri" w:hAnsi="Calibri"/><w:color w:val="1C1A16"/><w:sz w:val="20"/><w:szCs w:val="20"/></w:rPr><w:t xml:space="preserve">This checklist does not determine compliance. It tells you what you can defend and what is a reconstruction project.</w:t></w:r></w:p></w:tc></w:tr></w:tbl><w:p><w:pPr><w:pStyle w:val="Heading2"/><w:spacing w:after="120" w:before="320"/></w:pPr><w:r><w:rPr><w:rFonts w:ascii="Georgia" w:cs="Georgia" w:eastAsia="Georgia" w:hAnsi="Georgia"/><w:b/><w:bCs/><w:color w:val="14453B"/><w:sz w:val="26"/><w:szCs w:val="26"/></w:rPr><w:t xml:space="preserve">Must be found</w:t></w:r></w:p><w:p><w:pPr><w:spacing w:after="120"/></w:pPr><w:r><w:rPr><w:rFonts w:ascii="Calibri" w:cs="Calibri" w:eastAsia="Calibri" w:hAnsi="Calibri"/><w:b w:val="false"/><w:bCs w:val="false"/><w:i w:val="false"/><w:iCs w:val="false"/><w:color w:val="4C473C"/><w:sz w:val="21"/><w:szCs w:val="21"/></w:rPr><w:t xml:space="preserve">These cannot be drafted from a blank page. Tick only what you can point at.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Gap.</w:t></w:r><w:r><w:rPr><w:rFonts w:ascii="Calibri" w:cs="Calibri" w:eastAsia="Calibri" w:hAnsi="Calibri"/><w:color w:val="4C473C"/><w:sz w:val="21"/><w:szCs w:val="21"/></w:rPr><w:t xml:space="preserve"> Practice gap, with the evidence used to see it (QI, guidelines, evals, claims). A topic is not a gap.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Need.</w:t></w:r><w:r><w:rPr><w:rFonts w:ascii="Calibri" w:cs="Calibri" w:eastAsia="Calibri" w:hAnsi="Calibri"/><w:color w:val="4C473C"/><w:sz w:val="21"/><w:szCs w:val="21"/></w:rPr><w:t xml:space="preserve"> Educational need named: knowledge, competence, or performance.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Objectives.</w:t></w:r><w:r><w:rPr><w:rFonts w:ascii="Calibri" w:cs="Calibri" w:eastAsia="Calibri" w:hAnsi="Calibri"/><w:color w:val="4C473C"/><w:sz w:val="21"/><w:szCs w:val="21"/></w:rPr><w:t xml:space="preserve"> Objectives tied to that gap, sized to the format.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Standard 3.</w:t></w:r><w:r><w:rPr><w:rFonts w:ascii="Calibri" w:cs="Calibri" w:eastAsia="Calibri" w:hAnsi="Calibri"/><w:color w:val="4C473C"/><w:sz w:val="21"/><w:szCs w:val="21"/></w:rPr><w:t xml:space="preserve"> Who controlled content, their disclosures, relevance decisions, and mitigation before they controlled content.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Learner disclosure.</w:t></w:r><w:r><w:rPr><w:rFonts w:ascii="Calibri" w:cs="Calibri" w:eastAsia="Calibri" w:hAnsi="Calibri"/><w:color w:val="4C473C"/><w:sz w:val="21"/><w:szCs w:val="21"/></w:rPr><w:t xml:space="preserve"> What learners were told, before the education. Disclosure is not mitigation.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Materials.</w:t></w:r><w:r><w:rPr><w:rFonts w:ascii="Calibri" w:cs="Calibri" w:eastAsia="Calibri" w:hAnsi="Calibri"/><w:color w:val="4C473C"/><w:sz w:val="21"/><w:szCs w:val="21"/></w:rPr><w:t xml:space="preserve"> Materials as presented, or a record of them. If AI touched learner-facing content, the disclosure log is here too.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Evaluation.</w:t></w:r><w:r><w:rPr><w:rFonts w:ascii="Calibri" w:cs="Calibri" w:eastAsia="Calibri" w:hAnsi="Calibri"/><w:color w:val="4C473C"/><w:sz w:val="21"/><w:szCs w:val="21"/></w:rPr><w:t xml:space="preserve"> Evaluation instrument and whatever outcome was actually measured, at the Moore level claimed.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Standard 4.</w:t></w:r><w:r><w:rPr><w:rFonts w:ascii="Calibri" w:cs="Calibri" w:eastAsia="Calibri" w:hAnsi="Calibri"/><w:color w:val="4C473C"/><w:sz w:val="21"/><w:szCs w:val="21"/></w:rPr><w:t xml:space="preserve"> If commercial support: written agreement, amount or in-kind, and that the supporter did not control content.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Joint providership.</w:t></w:r><w:r><w:rPr><w:rFonts w:ascii="Calibri" w:cs="Calibri" w:eastAsia="Calibri" w:hAnsi="Calibri"/><w:color w:val="4C473C"/><w:sz w:val="21"/><w:szCs w:val="21"/></w:rPr><w:t xml:space="preserve"> If jointly provided: the accredited provider is named, the agreement is here, and operations (refunds, complaints) are not left only with the nonaccredited side.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Credit language.</w:t></w:r><w:r><w:rPr><w:rFonts w:ascii="Calibri" w:cs="Calibri" w:eastAsia="Calibri" w:hAnsi="Calibri"/><w:color w:val="4C473C"/><w:sz w:val="21"/><w:szCs w:val="21"/></w:rPr><w:t xml:space="preserve"> The credit designation statement as actually used. Found in the flyer or LMS. Not rewritten today.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Reporting.</w:t></w:r><w:r><w:rPr><w:rFonts w:ascii="Calibri" w:cs="Calibri" w:eastAsia="Calibri" w:hAnsi="Calibri"/><w:color w:val="4C473C"/><w:sz w:val="21"/><w:szCs w:val="21"/></w:rPr><w:t xml:space="preserve"> PARS or JA-PARS record, or a dated export. Learner counts match a source you can open.</w:t></w:r></w:p><w:p><w:pPr><w:pStyle w:val="Heading2"/><w:spacing w:after="120" w:before="320"/></w:pPr><w:r><w:rPr><w:rFonts w:ascii="Georgia" w:cs="Georgia" w:eastAsia="Georgia" w:hAnsi="Georgia"/><w:b/><w:bCs/><w:color w:val="14453B"/><w:sz w:val="26"/><w:szCs w:val="26"/></w:rPr><w:t xml:space="preserve">If this is enduring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Dates.</w:t></w:r><w:r><w:rPr><w:rFonts w:ascii="Calibri" w:cs="Calibri" w:eastAsia="Calibri" w:hAnsi="Calibri"/><w:color w:val="4C473C"/><w:sz w:val="21"/><w:szCs w:val="21"/></w:rPr><w:t xml:space="preserve"> Original release date, last review date, and termination date are on the material.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Validity.</w:t></w:r><w:r><w:rPr><w:rFonts w:ascii="Calibri" w:cs="Calibri" w:eastAsia="Calibri" w:hAnsi="Calibri"/><w:color w:val="4C473C"/><w:sz w:val="21"/><w:szCs w:val="21"/></w:rPr><w:t xml:space="preserve"> A review happened at least once in three years, or sooner if the science moved. Renewal in PARS is a new activity, not an edit.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Counts.</w:t></w:r><w:r><w:rPr><w:rFonts w:ascii="Calibri" w:cs="Calibri" w:eastAsia="Calibri" w:hAnsi="Calibri"/><w:color w:val="4C473C"/><w:sz w:val="21"/><w:szCs w:val="21"/></w:rPr><w:t xml:space="preserve"> Credit equals time to complete. Learners are people whose participation you can verify, not downloads.</w:t></w:r></w:p><w:p><w:pPr><w:pStyle w:val="Heading2"/><w:spacing w:after="120" w:before="320"/></w:pPr><w:r><w:rPr><w:rFonts w:ascii="Georgia" w:cs="Georgia" w:eastAsia="Georgia" w:hAnsi="Georgia"/><w:b/><w:bCs/><w:color w:val="14453B"/><w:sz w:val="26"/><w:szCs w:val="26"/></w:rPr><w:t xml:space="preserve">What AI may draft from what you found</w:t></w:r></w:p><w:p><w:pPr><w:pStyle w:val="ListParagraph"/><w:numPr><w:ilvl w:val="0"/><w:numId w:val="2"/></w:numPr><w:spacing w:after="70"/></w:pPr><w:r><w:rPr><w:rFonts w:ascii="Calibri" w:cs="Calibri" w:eastAsia="Calibri" w:hAnsi="Calibri"/><w:color w:val="4C473C"/><w:sz w:val="21"/><w:szCs w:val="21"/></w:rPr><w:t xml:space="preserve">A missing-item list, in the client’s words, with owners.</w:t></w:r></w:p><w:p><w:pPr><w:pStyle w:val="ListParagraph"/><w:numPr><w:ilvl w:val="0"/><w:numId w:val="2"/></w:numPr><w:spacing w:after="70"/></w:pPr><w:r><w:rPr><w:rFonts w:ascii="Calibri" w:cs="Calibri" w:eastAsia="Calibri" w:hAnsi="Calibri"/><w:color w:val="4C473C"/><w:sz w:val="21"/><w:szCs w:val="21"/></w:rPr><w:t xml:space="preserve">Chase emails for the pieces that are actually outstanding.</w:t></w:r></w:p><w:p><w:pPr><w:pStyle w:val="ListParagraph"/><w:numPr><w:ilvl w:val="0"/><w:numId w:val="2"/></w:numPr><w:spacing w:after="70"/></w:pPr><w:r><w:rPr><w:rFonts w:ascii="Calibri" w:cs="Calibri" w:eastAsia="Calibri" w:hAnsi="Calibri"/><w:color w:val="4C473C"/><w:sz w:val="21"/><w:szCs w:val="21"/></w:rPr><w:t xml:space="preserve">Narrative that only connects documents you ticked above.</w:t></w:r></w:p><w:p><w:pPr><w:pStyle w:val="ListParagraph"/><w:numPr><w:ilvl w:val="0"/><w:numId w:val="2"/></w:numPr><w:spacing w:after="70"/></w:pPr><w:r><w:rPr><w:rFonts w:ascii="Calibri" w:cs="Calibri" w:eastAsia="Calibri" w:hAnsi="Calibri"/><w:color w:val="4C473C"/><w:sz w:val="21"/><w:szCs w:val="21"/></w:rPr><w:t xml:space="preserve">Program-analysis prose from a PARS export you already made.</w:t></w:r></w:p><w:p><w:pPr><w:pStyle w:val="Heading2"/><w:spacing w:after="120" w:before="320"/></w:pPr><w:r><w:rPr><w:rFonts w:ascii="Georgia" w:cs="Georgia" w:eastAsia="Georgia" w:hAnsi="Georgia"/><w:b/><w:bCs/><w:color w:val="14453B"/><w:sz w:val="26"/><w:szCs w:val="26"/></w:rPr><w:t xml:space="preserve">What AI must not do</w:t></w:r></w:p><w:p><w:pPr><w:pStyle w:val="ListParagraph"/><w:numPr><w:ilvl w:val="0"/><w:numId w:val="2"/></w:numPr><w:spacing w:after="70"/></w:pPr><w:r><w:rPr><w:rFonts w:ascii="Calibri" w:cs="Calibri" w:eastAsia="Calibri" w:hAnsi="Calibri"/><w:color w:val="4C473C"/><w:sz w:val="21"/><w:szCs w:val="21"/></w:rPr><w:t xml:space="preserve">Invent a gap, a learner count, a mitigation, or a credit statement.</w:t></w:r></w:p><w:p><w:pPr><w:pStyle w:val="ListParagraph"/><w:numPr><w:ilvl w:val="0"/><w:numId w:val="2"/></w:numPr><w:spacing w:after="70"/></w:pPr><w:r><w:rPr><w:rFonts w:ascii="Calibri" w:cs="Calibri" w:eastAsia="Calibri" w:hAnsi="Calibri"/><w:color w:val="4C473C"/><w:sz w:val="21"/><w:szCs w:val="21"/></w:rPr><w:t xml:space="preserve">Write a self-study from an empty folder.</w:t></w:r></w:p><w:p><w:pPr><w:pStyle w:val="ListParagraph"/><w:numPr><w:ilvl w:val="0"/><w:numId w:val="2"/></w:numPr><w:spacing w:after="70"/></w:pPr><w:r><w:rPr><w:rFonts w:ascii="Calibri" w:cs="Calibri" w:eastAsia="Calibri" w:hAnsi="Calibri"/><w:color w:val="4C473C"/><w:sz w:val="21"/><w:szCs w:val="21"/></w:rPr><w:t xml:space="preserve">Declare the program in compliance.</w:t></w:r></w:p><0/><w:p><w:pPr><w:spacing w:after="160"/></w:pPr><w:r><w:t xml:space="preserve"></w:t></w:r></w:p><w:p><w:pPr><w:spacing w:after="140"/></w:pPr><w:r><w:rPr><w:rFonts w:ascii="Calibri" w:cs="Calibri" w:eastAsia="Calibri" w:hAnsi="Calibri"/><w:b/><w:bCs/><w:i w:val="false"/><w:iCs w:val="false"/><w:color w:val="1C1A16"/><w:sz w:val="21"/><w:szCs w:val="21"/></w:rPr><w:t xml:space="preserve">Auditor: </w:t></w:r><w:r><w:rPr><w:rFonts w:ascii="Calibri" w:cs="Calibri" w:eastAsia="Calibri" w:hAnsi="Calibri"/><w:b w:val="false"/><w:bCs w:val="false"/><w:i w:val="false"/><w:iCs w:val="false"/><w:color w:val="4C473C"/><w:sz w:val="21"/><w:szCs w:val="21"/></w:rPr><w:t xml:space="preserve">________________________     </w:t></w:r><w:r><w:rPr><w:rFonts w:ascii="Calibri" w:cs="Calibri" w:eastAsia="Calibri" w:hAnsi="Calibri"/><w:b/><w:bCs/><w:i w:val="false"/><w:iCs w:val="false"/><w:color w:val="1C1A16"/><w:sz w:val="21"/><w:szCs w:val="21"/></w:rPr><w:t xml:space="preserve">Date: </w:t></w:r><w:r><w:rPr><w:rFonts w:ascii="Calibri" w:cs="Calibri" w:eastAsia="Calibri" w:hAnsi="Calibri"/><w:b w:val="false"/><w:bCs w:val="false"/><w:i w:val="false"/><w:iCs w:val="false"/><w:color w:val="4C473C"/><w:sz w:val="21"/><w:szCs w:val="21"/></w:rPr><w:t xml:space="preserve">____________     </w:t></w:r><w:r><w:rPr><w:rFonts w:ascii="Calibri" w:cs="Calibri" w:eastAsia="Calibri" w:hAnsi="Calibri"/><w:b/><w:bCs/><w:i w:val="false"/><w:iCs w:val="false"/><w:color w:val="1C1A16"/><w:sz w:val="21"/><w:szCs w:val="21"/></w:rPr><w:t xml:space="preserve">Client folder: </w:t></w:r><w:r><w:rPr><w:rFonts w:ascii="Calibri" w:cs="Calibri" w:eastAsia="Calibri" w:hAnsi="Calibri"/><w:b w:val="false"/><w:bCs w:val="false"/><w:i w:val="false"/><w:iCs w:val="false"/><w:color w:val="4C473C"/><w:sz w:val="21"/><w:szCs w:val="21"/></w:rPr><w:t xml:space="preserve">____________________</w:t></w:r></w:p><w:p><w:pPr><w:pBdr><w:top w:val="single" w:color="14453B" w:sz="8" w:space="10"/></w:pBdr><w:spacing w:after="100" w:before="320"/></w:pPr><w:r><w:rPr><w:rFonts w:ascii="Calibri" w:cs="Calibri" w:eastAsia="Calibri" w:hAnsi="Calibri"/><w:b/><w:bCs/><w:color w:val="14453B"/><w:spacing w:val="25"/><w:sz w:val="15"/><w:szCs w:val="15"/></w:rPr><w:t xml:space="preserve">WHERE THIS CAME FROM</w:t></w:r></w:p><w:p><w:pPr><w:spacing w:after="90"/></w:pPr><w:r><w:rPr><w:rFonts w:ascii="Calibri" w:cs="Calibri" w:eastAsia="Calibri" w:hAnsi="Calibri"/><w:color w:val="4C473C"/><w:sz w:val="20"/><w:szCs w:val="20"/></w:rPr><w:t xml:space="preserve">This is a free template from </w:t></w:r><w:r><w:rPr><w:rFonts w:ascii="Calibri" w:cs="Calibri" w:eastAsia="Calibri" w:hAnsi="Calibri"/><w:b/><w:bCs/><w:color w:val="1C1A16"/><w:sz w:val="20"/><w:szCs w:val="20"/></w:rPr><w:t xml:space="preserve">Better Method</w:t></w:r><w:r><w:rPr><w:rFonts w:ascii="Calibri" w:cs="Calibri" w:eastAsia="Calibri" w:hAnsi="Calibri"/><w:color w:val="4C473C"/><w:sz w:val="20"/><w:szCs w:val="20"/></w:rPr><w:t xml:space="preserve">, a practical AI handbook for continuing education and leadership development professionals. The recipe this belongs to, and a dozen others, are at </w:t></w:r><w:r><w:rPr><w:rFonts w:ascii="Calibri" w:cs="Calibri" w:eastAsia="Calibri" w:hAnsi="Calibri"/><w:b/><w:bCs/><w:color w:val="14453B"/><w:sz w:val="20"/><w:szCs w:val="20"/></w:rPr><w:t xml:space="preserve">bettermethod.ai</w:t></w:r><w:r><w:rPr><w:rFonts w:ascii="Calibri" w:cs="Calibri" w:eastAsia="Calibri" w:hAnsi="Calibri"/><w:color w:val="4C473C"/><w:sz w:val="20"/><w:szCs w:val="20"/></w:rPr><w:t xml:space="preserve">.</w:t></w:r></w:p><w:p><w:pPr><w:spacing w:after="90"/></w:pPr><w:r><w:rPr><w:rFonts w:ascii="Calibri" w:cs="Calibri" w:eastAsia="Calibri" w:hAnsi="Calibri"/><w:color w:val="4C473C"/><w:sz w:val="20"/><w:szCs w:val="20"/></w:rPr><w:t xml:space="preserve">Hand this to the coordinator on day one. The ACCME guidebook and the commercial-bias screen sit next to it. bettermethod.ai/desks/#consultant</w:t></w:r></w:p><w:p><w:r><w:rPr><w:rFonts w:ascii="Calibri" w:cs="Calibri" w:eastAsia="Calibri" w:hAnsi="Calibri"/><w:i/><w:iCs/><w:color w:val="676051"/><w:sz w:val="19"/><w:szCs w:val="19"/></w:rPr><w:t xml:space="preserve">Copy it, put your own organization’s name on it, change whatever you like, and send it to whoever you want. Nothing here is tracked or restricted.</w:t></w:r></w:p><w:sectPr><w:footerReference w:type="default" r:id="rId7"/><w:pgSz w:w="12240" w:h="15840" w:orient="portrait"/><w:pgMar w:top="1080" w:right="1440" w:bottom="1080" w:left="1440" w:header="708" w:footer="708" w:gutter="0"/><w:pgNumType/><w:docGrid w:linePitch="360"/></w:sectPr></w:body>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C8B8" w:sz="4" w:space="8"/>
      </w:pBdr>
      <w:jc w:val="left"/>
    </w:pPr>
    <w:r>
      <w:rPr>
        <w:rFonts w:ascii="Calibri" w:cs="Calibri" w:eastAsia="Calibri" w:hAnsi="Calibri"/>
        <w:color w:val="676051"/>
        <w:sz w:val="16"/>
        <w:szCs w:val="16"/>
      </w:rPr>
      <w:t xml:space="preserve">Activity-file audit checklist   ·   </w:t>
    </w:r>
    <w:r>
      <w:rPr>
        <w:rFonts w:ascii="Calibri" w:cs="Calibri" w:eastAsia="Calibri" w:hAnsi="Calibri"/>
        <w:b/>
        <w:bCs/>
        <w:color w:val="14453B"/>
        <w:sz w:val="16"/>
        <w:szCs w:val="16"/>
      </w:rPr>
      <w:t xml:space="preserve">bettermethod.ai</w:t>
    </w:r>
    <w:r>
      <w:rPr>
        <w:rFonts w:ascii="Calibri" w:cs="Calibri" w:eastAsia="Calibri" w:hAnsi="Calibri"/>
        <w:color w:val="676051"/>
        <w:sz w:val="16"/>
        <w:szCs w:val="16"/>
      </w:rPr>
      <w:t xml:space="preserve">   ·   page </w:t>
    </w:r>
    <w:r>
      <w:rPr>
        <w:rFonts w:ascii="Calibri" w:cs="Calibri" w:eastAsia="Calibri" w:hAnsi="Calibri"/>
        <w:color w:val="676051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Activity-file audit checklist</dc:title>
  <dc:creator>Better Method</dc:creator>
  <dc:description>Activity-file audit checklist from the Better Method handbook.</dc:description>
  <cp:lastModifiedBy>Un-named</cp:lastModifiedBy>
  <cp:revision>1</cp:revision>
  <dcterms:created xsi:type="dcterms:W3CDTF">2026-08-17T01:08:24.097Z</dcterms:created>
  <dcterms:modified xsi:type="dcterms:W3CDTF">2026-08-17T01:08:24.097Z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