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b/>
          <w:bCs/>
          <w:color w:val="A2451F"/>
          <w:spacing w:val="30"/>
          <w:sz w:val="15"/>
          <w:szCs w:val="15"/>
        </w:rPr>
        <w:t xml:space="preserve">HANDOUT</w:t>
      </w:r>
    </w:p>
    <w:p>
      <w:pPr>
        <w:pStyle w:val="Heading1"/>
        <w:spacing w:after="80"/>
      </w:pPr>
      <w:r>
        <w:rPr>
          <w:rFonts w:ascii="Georgia" w:cs="Georgia" w:eastAsia="Georgia" w:hAnsi="Georgia"/>
          <w:b/>
          <w:bCs/>
          <w:color w:val="1C1A16"/>
          <w:sz w:val="40"/>
          <w:szCs w:val="40"/>
        </w:rPr>
        <w:t xml:space="preserve">Using AI in accredited CE</w:t>
      </w:r>
    </w:p>
    <w:p>
      <w:pPr>
        <w:pBdr>
          <w:bottom w:val="single" w:color="CFC8B8" w:sz="6" w:space="12"/>
        </w:pBdr>
        <w:spacing w:after="280"/>
      </w:pPr>
      <w:r>
        <w:rPr>
          <w:rFonts w:ascii="Georgia" w:cs="Georgia" w:eastAsia="Georgia" w:hAnsi="Georgia"/>
          <w:i/>
          <w:iCs/>
          <w:color w:val="4C473C"/>
          <w:sz w:val="22"/>
          <w:szCs w:val="22"/>
        </w:rPr>
        <w:t xml:space="preserve">One page to keep. The full handbook, recipes, and Word templates are free at bettermethod.ai.</w:t>
      </w:r>
    </w:p>
    <w:p>
      <w:pPr>
        <w:pStyle w:val="Heading2"/>
        <w:spacing w:after="120" w:before="320"/>
      </w:pPr>
      <w:r>
        <w:rPr>
          <w:rFonts w:ascii="Georgia" w:cs="Georgia" w:eastAsia="Georgia" w:hAnsi="Georgia"/>
          <w:b/>
          <w:bCs/>
          <w:color w:val="14453B"/>
          <w:sz w:val="26"/>
          <w:szCs w:val="26"/>
        </w:rPr>
        <w:t xml:space="preserve">The split that works</w:t>
      </w:r>
    </w:p>
    <w:p>
      <w:pPr>
        <w:spacing w:after="1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C473C"/>
          <w:sz w:val="21"/>
          <w:szCs w:val="21"/>
        </w:rPr>
        <w:t xml:space="preserve">Very good at shape. Unreliable with facts. You supply the gap, the numbers, and the medicine. The tool supplies a draft. You remain author of record.</w:t>
      </w:r>
    </w:p>
    <w:p>
      <w:pPr>
        <w:pStyle w:val="Heading2"/>
        <w:spacing w:after="120" w:before="320"/>
      </w:pPr>
      <w:r>
        <w:rPr>
          <w:rFonts w:ascii="Georgia" w:cs="Georgia" w:eastAsia="Georgia" w:hAnsi="Georgia"/>
          <w:b/>
          <w:bCs/>
          <w:color w:val="14453B"/>
          <w:sz w:val="26"/>
          <w:szCs w:val="26"/>
        </w:rPr>
        <w:t xml:space="preserve">January 2026, in four lines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color w:val="4C473C"/>
          <w:sz w:val="21"/>
          <w:szCs w:val="21"/>
        </w:rPr>
        <w:t xml:space="preserve">Disclose substantive AI use in educational materials. Grammar tools do not count.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color w:val="4C473C"/>
          <w:sz w:val="21"/>
          <w:szCs w:val="21"/>
        </w:rPr>
        <w:t xml:space="preserve">Name the tool, the purpose, and who reviewed the output.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color w:val="4C473C"/>
          <w:sz w:val="21"/>
          <w:szCs w:val="21"/>
        </w:rPr>
        <w:t xml:space="preserve">Screen for commercial bias. Independence rules do not change because a model drafted the slide.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color w:val="4C473C"/>
          <w:sz w:val="21"/>
          <w:szCs w:val="21"/>
        </w:rPr>
        <w:t xml:space="preserve">Keep identifiers and unpublished faculty material out of unapproved tools.</w:t>
      </w:r>
    </w:p>
    <w:p>
      <w:pPr>
        <w:pStyle w:val="Heading2"/>
        <w:spacing w:after="120" w:before="320"/>
      </w:pPr>
      <w:r>
        <w:rPr>
          <w:rFonts w:ascii="Georgia" w:cs="Georgia" w:eastAsia="Georgia" w:hAnsi="Georgia"/>
          <w:b/>
          <w:bCs/>
          <w:color w:val="14453B"/>
          <w:sz w:val="26"/>
          <w:szCs w:val="26"/>
        </w:rPr>
        <w:t xml:space="preserve">April 2026, in two lines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color w:val="4C473C"/>
          <w:sz w:val="21"/>
          <w:szCs w:val="21"/>
        </w:rPr>
        <w:t xml:space="preserve">If AI talks to learners in real time, the accredited provider owns every output. Vendors do not take that on.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color w:val="4C473C"/>
          <w:sz w:val="21"/>
          <w:szCs w:val="21"/>
        </w:rPr>
        <w:t xml:space="preserve">If you cannot validate, monitor, and keep promotion out, do not offer the interaction.</w:t>
      </w:r>
    </w:p>
    <w:p>
      <w:pPr>
        <w:pStyle w:val="Heading2"/>
        <w:spacing w:after="120" w:before="320"/>
      </w:pPr>
      <w:r>
        <w:rPr>
          <w:rFonts w:ascii="Georgia" w:cs="Georgia" w:eastAsia="Georgia" w:hAnsi="Georgia"/>
          <w:b/>
          <w:bCs/>
          <w:color w:val="14453B"/>
          <w:sz w:val="26"/>
          <w:szCs w:val="26"/>
        </w:rPr>
        <w:t xml:space="preserve">Before you paste</w:t>
      </w:r>
    </w:p>
    <w:tbl>
      <w:tblPr>
        <w:tblW w:type="dxa" w:w="9360"/>
        <w:tblBorders>
          <w:top w:val="single" w:color="1C1A16" w:sz="8"/>
          <w:left w:val="none" w:color="FFFFFF" w:sz="0"/>
          <w:bottom w:val="single" w:color="CFC8B8" w:sz="4"/>
          <w:right w:val="none" w:color="FFFFFF" w:sz="0"/>
          <w:insideH w:val="single" w:color="CFC8B8" w:sz="4"/>
          <w:insideV w:val="none" w:color="FFFFFF" w:sz="0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76051"/>
                <w:spacing w:val="25"/>
                <w:sz w:val="14"/>
                <w:szCs w:val="14"/>
              </w:rPr>
              <w:t xml:space="preserve">KEEP OUT</w:t>
            </w:r>
          </w:p>
        </w:tc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76051"/>
                <w:spacing w:val="25"/>
                <w:sz w:val="14"/>
                <w:szCs w:val="14"/>
              </w:rPr>
              <w:t xml:space="preserve">CHECK FIRST</w:t>
            </w:r>
          </w:p>
        </w:tc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76051"/>
                <w:spacing w:val="25"/>
                <w:sz w:val="14"/>
                <w:szCs w:val="14"/>
              </w:rPr>
              <w:t xml:space="preserve">GO AHEAD</w:t>
            </w:r>
          </w:p>
        </w:tc>
      </w:tr>
      <w:tr>
        <w:tc>
          <w:tcPr>
            <w:tcW w:type="dxa" w:w="312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1A16"/>
                <w:sz w:val="20"/>
                <w:szCs w:val="20"/>
              </w:rPr>
              <w:t xml:space="preserve">Patient information</w:t>
            </w:r>
          </w:p>
        </w:tc>
        <w:tc>
          <w:tcPr>
            <w:tcW w:type="dxa" w:w="312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C473C"/>
                <w:sz w:val="20"/>
                <w:szCs w:val="20"/>
              </w:rPr>
              <w:t xml:space="preserve">Aggregate evals</w:t>
            </w:r>
          </w:p>
        </w:tc>
        <w:tc>
          <w:tcPr>
            <w:tcW w:type="dxa" w:w="312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C473C"/>
                <w:sz w:val="20"/>
                <w:szCs w:val="20"/>
              </w:rPr>
              <w:t xml:space="preserve">Your own writing</w:t>
            </w:r>
          </w:p>
        </w:tc>
      </w:tr>
      <w:tr>
        <w:tc>
          <w:tcPr>
            <w:tcW w:type="dxa" w:w="312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1A16"/>
                <w:sz w:val="20"/>
                <w:szCs w:val="20"/>
              </w:rPr>
              <w:t xml:space="preserve">Comments with names in</w:t>
            </w:r>
          </w:p>
        </w:tc>
        <w:tc>
          <w:tcPr>
            <w:tcW w:type="dxa" w:w="312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C473C"/>
                <w:sz w:val="20"/>
                <w:szCs w:val="20"/>
              </w:rPr>
              <w:t xml:space="preserve">Unpublished materials</w:t>
            </w:r>
          </w:p>
        </w:tc>
        <w:tc>
          <w:tcPr>
            <w:tcW w:type="dxa" w:w="312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C473C"/>
                <w:sz w:val="20"/>
                <w:szCs w:val="20"/>
              </w:rPr>
              <w:t xml:space="preserve">Published guidelines</w:t>
            </w:r>
          </w:p>
        </w:tc>
      </w:tr>
      <w:tr>
        <w:tc>
          <w:tcPr>
            <w:tcW w:type="dxa" w:w="312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1A16"/>
                <w:sz w:val="20"/>
                <w:szCs w:val="20"/>
              </w:rPr>
              <w:t xml:space="preserve">Disclosure forms</w:t>
            </w:r>
          </w:p>
        </w:tc>
        <w:tc>
          <w:tcPr>
            <w:tcW w:type="dxa" w:w="312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C473C"/>
                <w:sz w:val="20"/>
                <w:szCs w:val="20"/>
              </w:rPr>
              <w:t xml:space="preserve">Grant drafts</w:t>
            </w:r>
          </w:p>
        </w:tc>
        <w:tc>
          <w:tcPr>
            <w:tcW w:type="dxa" w:w="312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C473C"/>
                <w:sz w:val="20"/>
                <w:szCs w:val="20"/>
              </w:rPr>
              <w:t xml:space="preserve">Objectives and templates</w:t>
            </w:r>
          </w:p>
        </w:tc>
      </w:tr>
      <w:tr>
        <w:tc>
          <w:tcPr>
            <w:tcW w:type="dxa" w:w="312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1A16"/>
                <w:sz w:val="20"/>
                <w:szCs w:val="20"/>
              </w:rPr>
              <w:t xml:space="preserve">Passwords</w:t>
            </w:r>
          </w:p>
        </w:tc>
        <w:tc>
          <w:tcPr>
            <w:tcW w:type="dxa" w:w="312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C473C"/>
                <w:sz w:val="20"/>
                <w:szCs w:val="20"/>
              </w:rPr>
              <w:t xml:space="preserve">QI findings</w:t>
            </w:r>
          </w:p>
        </w:tc>
        <w:tc>
          <w:tcPr>
            <w:tcW w:type="dxa" w:w="312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C473C"/>
                <w:sz w:val="20"/>
                <w:szCs w:val="20"/>
              </w:rPr>
              <w:t xml:space="preserve">Composite cases you made up</w:t>
            </w:r>
          </w:p>
        </w:tc>
      </w:tr>
    </w:tbl>
    <w:p>
      <w:pPr>
        <w:pStyle w:val="Heading2"/>
        <w:spacing w:after="120" w:before="320"/>
      </w:pPr>
      <w:r>
        <w:rPr>
          <w:rFonts w:ascii="Georgia" w:cs="Georgia" w:eastAsia="Georgia" w:hAnsi="Georgia"/>
          <w:b/>
          <w:bCs/>
          <w:color w:val="14453B"/>
          <w:sz w:val="26"/>
          <w:szCs w:val="26"/>
        </w:rPr>
        <w:t xml:space="preserve">A Tuesday that pays back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b/>
          <w:bCs/>
          <w:color w:val="1C1A16"/>
          <w:sz w:val="21"/>
          <w:szCs w:val="21"/>
        </w:rPr>
        <w:t xml:space="preserve">Fifteen minutes:</w:t>
      </w:r>
      <w:r>
        <w:rPr>
          <w:rFonts w:ascii="Calibri" w:cs="Calibri" w:eastAsia="Calibri" w:hAnsi="Calibri"/>
          <w:color w:val="4C473C"/>
          <w:sz w:val="21"/>
          <w:szCs w:val="21"/>
        </w:rPr>
        <w:t xml:space="preserve"> Faculty email in your own sent-folder voice.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b/>
          <w:bCs/>
          <w:color w:val="1C1A16"/>
          <w:sz w:val="21"/>
          <w:szCs w:val="21"/>
        </w:rPr>
        <w:t xml:space="preserve">RSS week:</w:t>
      </w:r>
      <w:r>
        <w:rPr>
          <w:rFonts w:ascii="Calibri" w:cs="Calibri" w:eastAsia="Calibri" w:hAnsi="Calibri"/>
          <w:color w:val="4C473C"/>
          <w:sz w:val="21"/>
          <w:szCs w:val="21"/>
        </w:rPr>
        <w:t xml:space="preserve"> Announcement, disclosure reminder, session objective, eval questions.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b/>
          <w:bCs/>
          <w:color w:val="1C1A16"/>
          <w:sz w:val="21"/>
          <w:szCs w:val="21"/>
        </w:rPr>
        <w:t xml:space="preserve">Then log it:</w:t>
      </w:r>
      <w:r>
        <w:rPr>
          <w:rFonts w:ascii="Calibri" w:cs="Calibri" w:eastAsia="Calibri" w:hAnsi="Calibri"/>
          <w:color w:val="4C473C"/>
          <w:sz w:val="21"/>
          <w:szCs w:val="21"/>
        </w:rPr>
        <w:t xml:space="preserve"> Tool, purpose, named reviewer, date.</w:t>
      </w:r>
    </w:p>
    <w:p>
      <w:pPr>
        <w:pStyle w:val="Heading2"/>
        <w:spacing w:after="120" w:before="320"/>
      </w:pPr>
      <w:r>
        <w:rPr>
          <w:rFonts w:ascii="Georgia" w:cs="Georgia" w:eastAsia="Georgia" w:hAnsi="Georgia"/>
          <w:b/>
          <w:bCs/>
          <w:color w:val="14453B"/>
          <w:sz w:val="26"/>
          <w:szCs w:val="26"/>
        </w:rPr>
        <w:t xml:space="preserve">The address</w:t>
      </w:r>
    </w:p>
    <w:p>
      <w:pPr>
        <w:spacing w:after="1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C473C"/>
          <w:sz w:val="21"/>
          <w:szCs w:val="21"/>
        </w:rPr>
        <w:t xml:space="preserve">bettermethod.ai  ·  Guardrails, recipes, and the disclosure log. Nothing gated.</w:t>
      </w:r>
    </w:p>
    <w:p>
      <w:pPr>
        <w:pBdr>
          <w:top w:val="single" w:color="14453B" w:sz="8" w:space="10"/>
        </w:pBdr>
        <w:spacing w:after="100" w:before="320"/>
      </w:pPr>
      <w:r>
        <w:rPr>
          <w:rFonts w:ascii="Calibri" w:cs="Calibri" w:eastAsia="Calibri" w:hAnsi="Calibri"/>
          <w:b/>
          <w:bCs/>
          <w:color w:val="14453B"/>
          <w:spacing w:val="25"/>
          <w:sz w:val="15"/>
          <w:szCs w:val="15"/>
        </w:rPr>
        <w:t xml:space="preserve">WHERE THIS CAME FROM</w:t>
      </w:r>
    </w:p>
    <w:p>
      <w:pPr>
        <w:spacing w:after="90"/>
      </w:pPr>
      <w:r>
        <w:rPr>
          <w:rFonts w:ascii="Calibri" w:cs="Calibri" w:eastAsia="Calibri" w:hAnsi="Calibri"/>
          <w:color w:val="4C473C"/>
          <w:sz w:val="20"/>
          <w:szCs w:val="20"/>
        </w:rPr>
        <w:t xml:space="preserve">This is a free template from </w:t>
      </w:r>
      <w:r>
        <w:rPr>
          <w:rFonts w:ascii="Calibri" w:cs="Calibri" w:eastAsia="Calibri" w:hAnsi="Calibri"/>
          <w:b/>
          <w:bCs/>
          <w:color w:val="1C1A16"/>
          <w:sz w:val="20"/>
          <w:szCs w:val="20"/>
        </w:rPr>
        <w:t xml:space="preserve">Better Method</w:t>
      </w:r>
      <w:r>
        <w:rPr>
          <w:rFonts w:ascii="Calibri" w:cs="Calibri" w:eastAsia="Calibri" w:hAnsi="Calibri"/>
          <w:color w:val="4C473C"/>
          <w:sz w:val="20"/>
          <w:szCs w:val="20"/>
        </w:rPr>
        <w:t xml:space="preserve">, a practical AI handbook for continuing education and leadership development professionals. The recipe this belongs to, and a dozen others, are at </w:t>
      </w:r>
      <w:r>
        <w:rPr>
          <w:rFonts w:ascii="Calibri" w:cs="Calibri" w:eastAsia="Calibri" w:hAnsi="Calibri"/>
          <w:b/>
          <w:bCs/>
          <w:color w:val="14453B"/>
          <w:sz w:val="20"/>
          <w:szCs w:val="20"/>
        </w:rPr>
        <w:t xml:space="preserve">bettermethod.ai</w:t>
      </w:r>
      <w:r>
        <w:rPr>
          <w:rFonts w:ascii="Calibri" w:cs="Calibri" w:eastAsia="Calibri" w:hAnsi="Calibri"/>
          <w:color w:val="4C473C"/>
          <w:sz w:val="20"/>
          <w:szCs w:val="20"/>
        </w:rPr>
        <w:t xml:space="preserve">.</w:t>
      </w:r>
    </w:p>
    <w:p>
      <w:pPr>
        <w:spacing w:after="90"/>
      </w:pPr>
      <w:r>
        <w:rPr>
          <w:rFonts w:ascii="Calibri" w:cs="Calibri" w:eastAsia="Calibri" w:hAnsi="Calibri"/>
          <w:color w:val="4C473C"/>
          <w:sz w:val="20"/>
          <w:szCs w:val="20"/>
        </w:rPr>
        <w:t xml:space="preserve">Hand this out at Alliance, Learn to Thrive, or a lunch-and-learn. Confirm current ACCME wording on accme.org before a compliance decision.</w:t>
      </w:r>
    </w:p>
    <w:p>
      <w:r>
        <w:rPr>
          <w:rFonts w:ascii="Calibri" w:cs="Calibri" w:eastAsia="Calibri" w:hAnsi="Calibri"/>
          <w:i/>
          <w:iCs/>
          <w:color w:val="676051"/>
          <w:sz w:val="19"/>
          <w:szCs w:val="19"/>
        </w:rPr>
        <w:t xml:space="preserve">Copy it, put your own organization’s name on it, change whatever you like, and send it to whoever you want. Nothing here is tracked or restricted.</w:t>
      </w:r>
    </w:p>
    <w:sectPr>
      <w:footerReference w:type="default" r:id="rId7"/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FC8B8" w:sz="4" w:space="8"/>
      </w:pBdr>
      <w:jc w:val="left"/>
    </w:pPr>
    <w:r>
      <w:rPr>
        <w:rFonts w:ascii="Calibri" w:cs="Calibri" w:eastAsia="Calibri" w:hAnsi="Calibri"/>
        <w:color w:val="676051"/>
        <w:sz w:val="16"/>
        <w:szCs w:val="16"/>
      </w:rPr>
      <w:t xml:space="preserve">ACCME AI one-pager   ·   </w:t>
    </w:r>
    <w:r>
      <w:rPr>
        <w:rFonts w:ascii="Calibri" w:cs="Calibri" w:eastAsia="Calibri" w:hAnsi="Calibri"/>
        <w:b/>
        <w:bCs/>
        <w:color w:val="14453B"/>
        <w:sz w:val="16"/>
        <w:szCs w:val="16"/>
      </w:rPr>
      <w:t xml:space="preserve">bettermethod.ai</w:t>
    </w:r>
    <w:r>
      <w:rPr>
        <w:rFonts w:ascii="Calibri" w:cs="Calibri" w:eastAsia="Calibri" w:hAnsi="Calibri"/>
        <w:color w:val="676051"/>
        <w:sz w:val="16"/>
        <w:szCs w:val="16"/>
      </w:rPr>
      <w:t xml:space="preserve">   ·   page </w:t>
    </w:r>
    <w:r>
      <w:rPr>
        <w:rFonts w:ascii="Calibri" w:cs="Calibri" w:eastAsia="Calibri" w:hAnsi="Calibri"/>
        <w:color w:val="676051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ACCME AI one-pager</dc:title>
  <dc:creator>Better Method</dc:creator>
  <dc:description>ACCME AI one-pager from the Better Method handbook.</dc:description>
  <cp:lastModifiedBy>Un-named</cp:lastModifiedBy>
  <cp:revision>1</cp:revision>
  <dcterms:created xsi:type="dcterms:W3CDTF">2026-08-17T01:08:24.086Z</dcterms:created>
  <dcterms:modified xsi:type="dcterms:W3CDTF">2026-08-17T01:08:24.086Z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